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A260" w14:textId="77777777" w:rsidR="00C2217D" w:rsidRDefault="00850238" w:rsidP="00850238">
      <w:pPr>
        <w:keepNext/>
        <w:keepLines/>
        <w:spacing w:before="48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18B06636" wp14:editId="0F9FA9D6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17D">
        <w:rPr>
          <w:rFonts w:eastAsia="Times New Roman"/>
          <w:b/>
          <w:bCs/>
          <w:color w:val="122926"/>
          <w:sz w:val="44"/>
          <w:szCs w:val="28"/>
        </w:rPr>
        <w:t xml:space="preserve">Athletic Trainers </w:t>
      </w:r>
    </w:p>
    <w:p w14:paraId="42E1F5B2" w14:textId="25FA21F5" w:rsidR="00850238" w:rsidRDefault="00C2217D" w:rsidP="00C2217D">
      <w:pPr>
        <w:keepNext/>
        <w:keepLines/>
        <w:spacing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</w:t>
      </w:r>
      <w:r w:rsidR="00850238">
        <w:rPr>
          <w:rFonts w:eastAsia="Times New Roman"/>
          <w:b/>
          <w:bCs/>
          <w:color w:val="122926"/>
          <w:sz w:val="44"/>
          <w:szCs w:val="28"/>
        </w:rPr>
        <w:t xml:space="preserve"> Report</w:t>
      </w:r>
    </w:p>
    <w:p w14:paraId="719B8088" w14:textId="77777777" w:rsidR="00850238" w:rsidRDefault="00850238" w:rsidP="0085023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759EDD8F" w14:textId="77777777" w:rsidR="00850238" w:rsidRDefault="00850238" w:rsidP="0085023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4719C687" w14:textId="39E991FE" w:rsidR="00850238" w:rsidRPr="00850238" w:rsidRDefault="00850238" w:rsidP="0085023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November 2017</w:t>
      </w:r>
    </w:p>
    <w:p w14:paraId="0BF59EC6" w14:textId="77777777" w:rsidR="00FC4044" w:rsidRDefault="00FC4044" w:rsidP="00FC4044">
      <w:pPr>
        <w:pStyle w:val="Heading1"/>
      </w:pPr>
      <w:r>
        <w:t>Recommendation</w:t>
      </w:r>
    </w:p>
    <w:p w14:paraId="68D8B7EB" w14:textId="6F92E8E3" w:rsidR="00FC4044" w:rsidRDefault="00FC4044" w:rsidP="00FC4044">
      <w:r>
        <w:t>Based on all available data included in this report, there a</w:t>
      </w:r>
      <w:r w:rsidR="00E97A63">
        <w:t>ppears to be an undersupply of Athletic T</w:t>
      </w:r>
      <w:r>
        <w:t>rainers in the region, enough to support at least one additional community college program.</w:t>
      </w:r>
    </w:p>
    <w:p w14:paraId="0067FB5E" w14:textId="77777777" w:rsidR="0035393B" w:rsidRDefault="00FC4044" w:rsidP="00FC4044">
      <w:r>
        <w:t>Total annual dema</w:t>
      </w:r>
      <w:r w:rsidR="00C2217D">
        <w:t xml:space="preserve">nd is estimated to be 38 </w:t>
      </w:r>
      <w:r>
        <w:t>job op</w:t>
      </w:r>
      <w:r w:rsidR="00C2217D">
        <w:t>enings in the Bay Region and 10</w:t>
      </w:r>
      <w:r>
        <w:t xml:space="preserve"> for the East Bay. </w:t>
      </w:r>
      <w:r w:rsidR="00C2217D">
        <w:t>S</w:t>
      </w:r>
      <w:r>
        <w:t>ince the employers of this occupation prefer a Bachelor’s degree or higher, the supply of Bachelor’s degree</w:t>
      </w:r>
      <w:r w:rsidR="00C2217D">
        <w:t xml:space="preserve"> candidates will be used to determine the annual supply of candidates.</w:t>
      </w:r>
      <w:r>
        <w:t xml:space="preserve"> </w:t>
      </w:r>
      <w:r w:rsidR="00C2217D">
        <w:t xml:space="preserve"> San Jose State is, </w:t>
      </w:r>
      <w:r>
        <w:t>as far as we know, the only four-year institution with a program issuing aw</w:t>
      </w:r>
      <w:r w:rsidR="00C2217D">
        <w:t>ards aligned to this occupation</w:t>
      </w:r>
      <w:r w:rsidR="0035393B">
        <w:t>.  Their Athletic Training/Trainer program a</w:t>
      </w:r>
      <w:r>
        <w:t xml:space="preserve">warded 13 Bachelor’s degrees on average over the three-year period 2013-16. </w:t>
      </w:r>
    </w:p>
    <w:p w14:paraId="4ECFD345" w14:textId="19D1E0BE" w:rsidR="0035393B" w:rsidRDefault="00FC4044" w:rsidP="0035393B">
      <w:r>
        <w:t>Because a Bachelor’s degree is required for Athletic trainer, and only 13 degrees are awarded annually compared to 38 average annual job</w:t>
      </w:r>
      <w:r w:rsidR="00DF29EC">
        <w:t xml:space="preserve"> openings </w:t>
      </w:r>
      <w:r>
        <w:t xml:space="preserve">in the region, there is a modest labor market gap for this occupation using EMSI demand data.  </w:t>
      </w:r>
      <w:r w:rsidR="00C2217D">
        <w:t>However,</w:t>
      </w:r>
      <w:r>
        <w:t xml:space="preserve"> to further support creation of at least one more program at community colleges in the region, the online postings for this occupation from Burning Glass over the latest 12-month period sh</w:t>
      </w:r>
      <w:r w:rsidR="00DF29EC">
        <w:t>ows there are 140 postings for Athletic T</w:t>
      </w:r>
      <w:bookmarkStart w:id="0" w:name="_GoBack"/>
      <w:bookmarkEnd w:id="0"/>
      <w:r>
        <w:t xml:space="preserve">rainers, further indicating a labor market need (even if you assumed not all postings equated to a job opening).  </w:t>
      </w:r>
    </w:p>
    <w:p w14:paraId="7F521B7E" w14:textId="388A290D" w:rsidR="00FC4044" w:rsidRDefault="00FC4044" w:rsidP="00FC4044">
      <w:r>
        <w:t xml:space="preserve">Finally, it is important to note that </w:t>
      </w:r>
      <w:r w:rsidR="0035393B">
        <w:t xml:space="preserve">there were </w:t>
      </w:r>
      <w:r w:rsidR="0035393B">
        <w:t xml:space="preserve">25 awards </w:t>
      </w:r>
      <w:r w:rsidR="0035393B">
        <w:t xml:space="preserve">annually on average </w:t>
      </w:r>
      <w:r w:rsidR="0035393B">
        <w:t>from Community Colleges and Other Postsecondary Institutions</w:t>
      </w:r>
      <w:r w:rsidR="00E97A63">
        <w:t xml:space="preserve"> for Athletic Training and Sports Medicine </w:t>
      </w:r>
      <w:r w:rsidR="0035393B">
        <w:t>and t</w:t>
      </w:r>
      <w:r w:rsidR="0035393B">
        <w:t xml:space="preserve">he annual average for transfer students is </w:t>
      </w:r>
      <w:r w:rsidR="0035393B">
        <w:t xml:space="preserve">38 (2012-15) for the region, with students </w:t>
      </w:r>
      <w:r>
        <w:t xml:space="preserve">transferring at a much higher rate in this program area compared to all other program areas in the region. 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2755B05D" w:rsidR="00F57E7C" w:rsidRDefault="00F57E7C" w:rsidP="00580714">
      <w:pPr>
        <w:spacing w:after="120" w:line="240" w:lineRule="auto"/>
      </w:pPr>
      <w:r>
        <w:t xml:space="preserve">This report profiles </w:t>
      </w:r>
      <w:r w:rsidR="00520FCD">
        <w:t>Athletic Trainers in the 12 county Bay Region and the East Bay (Alameda and Contra Costa counties) for a</w:t>
      </w:r>
      <w:r w:rsidR="00E97A63">
        <w:t>n Athletic Training and</w:t>
      </w:r>
      <w:r w:rsidR="00520FCD">
        <w:t xml:space="preserve"> Sports Medicine program at Las Positas College.</w:t>
      </w:r>
    </w:p>
    <w:p w14:paraId="67F2751A" w14:textId="0A8DF0F8" w:rsidR="00F57E7C" w:rsidRDefault="00520FCD" w:rsidP="0058071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Athletic Trainers</w:t>
      </w:r>
      <w:r w:rsidR="00F2043B">
        <w:rPr>
          <w:b/>
        </w:rPr>
        <w:t xml:space="preserve"> (SOC </w:t>
      </w:r>
      <w:r>
        <w:rPr>
          <w:b/>
        </w:rPr>
        <w:t>29-9091</w:t>
      </w:r>
      <w:r w:rsidR="00F2043B">
        <w:rPr>
          <w:b/>
        </w:rPr>
        <w:t>)</w:t>
      </w:r>
      <w:r w:rsidR="00F57E7C">
        <w:t xml:space="preserve">: </w:t>
      </w:r>
      <w:r w:rsidRPr="00520FCD">
        <w:t>Evaluate and advise individuals to assist recovery from or avoid athletic-related injuries or illnesses, or maintain peak physical fitness. May provide first aid or emergency care.</w:t>
      </w:r>
    </w:p>
    <w:p w14:paraId="1D5BB50E" w14:textId="77777777" w:rsidR="00E97A63" w:rsidRDefault="00E97A63" w:rsidP="00580714">
      <w:pPr>
        <w:pStyle w:val="ListParagraph"/>
        <w:spacing w:after="0" w:line="240" w:lineRule="auto"/>
        <w:rPr>
          <w:u w:val="single"/>
        </w:rPr>
      </w:pPr>
    </w:p>
    <w:p w14:paraId="02620DF3" w14:textId="3C6052F4" w:rsidR="00520FCD" w:rsidRDefault="00520FCD" w:rsidP="00580714">
      <w:pPr>
        <w:pStyle w:val="ListParagraph"/>
        <w:spacing w:after="0" w:line="240" w:lineRule="auto"/>
      </w:pPr>
      <w:r w:rsidRPr="00E97A63">
        <w:rPr>
          <w:u w:val="single"/>
        </w:rPr>
        <w:t>Sample of reported job titles:</w:t>
      </w:r>
      <w:r w:rsidRPr="00520FCD">
        <w:t xml:space="preserve"> Assistant Athletic Trainer, Athletic Instructor, Athletic Trainer, Certified Athletic Trainer, Clinical Instructor, Graduate Assistant Athletic Trainer, Head Athletic Trainer, Head Athletic Trainer/Strength Coach, Resident Athletic Trainer, Sports Medicine Coordinator</w:t>
      </w:r>
    </w:p>
    <w:p w14:paraId="1ED94C92" w14:textId="77777777" w:rsidR="00850238" w:rsidRDefault="00850238" w:rsidP="00580714">
      <w:pPr>
        <w:spacing w:after="0" w:line="240" w:lineRule="auto"/>
        <w:ind w:left="720"/>
        <w:rPr>
          <w:i/>
        </w:rPr>
      </w:pPr>
    </w:p>
    <w:p w14:paraId="5B83521E" w14:textId="7CA5AAEE" w:rsidR="00F2043B" w:rsidRDefault="00F2043B" w:rsidP="00580714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520FCD" w:rsidRPr="00A46EEE">
        <w:rPr>
          <w:i/>
        </w:rPr>
        <w:t>Bachelor’s Degree</w:t>
      </w:r>
    </w:p>
    <w:p w14:paraId="57F22369" w14:textId="3A8AE862" w:rsidR="00193BC4" w:rsidRDefault="00193BC4" w:rsidP="00580714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 w:rsidR="00070CD8" w:rsidRPr="007427E1">
        <w:rPr>
          <w:i/>
        </w:rPr>
        <w:t>None Indicated</w:t>
      </w:r>
    </w:p>
    <w:p w14:paraId="7F455D2A" w14:textId="77777777" w:rsidR="00193BC4" w:rsidRDefault="00193BC4" w:rsidP="00580714">
      <w:pPr>
        <w:spacing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>
        <w:t xml:space="preserve"> 44%</w:t>
      </w:r>
    </w:p>
    <w:p w14:paraId="07EC2BA1" w14:textId="77777777" w:rsidR="002155A4" w:rsidRDefault="002155A4" w:rsidP="002155A4">
      <w:pPr>
        <w:pStyle w:val="Heading1"/>
      </w:pPr>
      <w:r>
        <w:lastRenderedPageBreak/>
        <w:t>Occupational Demand</w:t>
      </w:r>
    </w:p>
    <w:p w14:paraId="1ADA1F55" w14:textId="7C4E53BD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 xml:space="preserve">Employment Outlook for </w:t>
      </w:r>
      <w:r w:rsidR="00070CD8">
        <w:rPr>
          <w:b/>
        </w:rPr>
        <w:t>Athletic Trainers</w:t>
      </w:r>
      <w:r w:rsidR="00165174">
        <w:rPr>
          <w:b/>
        </w:rPr>
        <w:t xml:space="preserve"> (29-9091)</w:t>
      </w:r>
      <w:r w:rsidR="009857B9">
        <w:rPr>
          <w:b/>
        </w:rPr>
        <w:t xml:space="preserve"> in Bay Region and East Bay Sub-Region</w:t>
      </w:r>
    </w:p>
    <w:tbl>
      <w:tblPr>
        <w:tblW w:w="989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90"/>
        <w:gridCol w:w="810"/>
        <w:gridCol w:w="720"/>
        <w:gridCol w:w="900"/>
        <w:gridCol w:w="900"/>
        <w:gridCol w:w="1080"/>
        <w:gridCol w:w="1080"/>
        <w:gridCol w:w="1260"/>
        <w:gridCol w:w="1170"/>
      </w:tblGrid>
      <w:tr w:rsidR="00580714" w:rsidRPr="008409A0" w14:paraId="759EC033" w14:textId="5711BF7F" w:rsidTr="00580714">
        <w:trPr>
          <w:trHeight w:val="548"/>
        </w:trPr>
        <w:tc>
          <w:tcPr>
            <w:tcW w:w="987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4AE9CD86" w14:textId="425CDAE6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Region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3CF0C0B1" w14:textId="79C2FC7E" w:rsidR="00070CD8" w:rsidRPr="008409A0" w:rsidRDefault="00070CD8" w:rsidP="00070CD8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</w:t>
            </w:r>
            <w:r w:rsidR="00580714"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B1D24B5" w14:textId="77777777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72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28162EDD" w14:textId="77777777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610988B" w14:textId="77777777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5B8F88A" w14:textId="77777777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5423C3A3" w14:textId="77777777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Openings</w:t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B1527A4" w14:textId="4AC2AFA1" w:rsidR="00070CD8" w:rsidRPr="008409A0" w:rsidRDefault="00070CD8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Openings</w:t>
            </w:r>
          </w:p>
        </w:tc>
        <w:tc>
          <w:tcPr>
            <w:tcW w:w="126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5909B761" w14:textId="44328919" w:rsidR="00070CD8" w:rsidRPr="008409A0" w:rsidRDefault="0058071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</w:t>
            </w:r>
            <w:r w:rsidR="00070CD8">
              <w:rPr>
                <w:rFonts w:eastAsia="Times New Roman"/>
                <w:bCs/>
                <w:sz w:val="21"/>
                <w:szCs w:val="21"/>
              </w:rPr>
              <w:t>rly Wage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5EEC6066" w14:textId="63A85FA4" w:rsidR="00070CD8" w:rsidRDefault="0058071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</w:t>
            </w:r>
            <w:r w:rsidR="00070CD8">
              <w:rPr>
                <w:rFonts w:eastAsia="Times New Roman"/>
                <w:bCs/>
                <w:sz w:val="21"/>
                <w:szCs w:val="21"/>
              </w:rPr>
              <w:t>rly Wage</w:t>
            </w:r>
          </w:p>
        </w:tc>
      </w:tr>
      <w:tr w:rsidR="00580714" w:rsidRPr="0055323B" w14:paraId="437AA85D" w14:textId="2D3B0D29" w:rsidTr="00580714">
        <w:trPr>
          <w:trHeight w:val="300"/>
        </w:trPr>
        <w:tc>
          <w:tcPr>
            <w:tcW w:w="987" w:type="dxa"/>
            <w:tcBorders>
              <w:bottom w:val="nil"/>
            </w:tcBorders>
            <w:vAlign w:val="center"/>
          </w:tcPr>
          <w:p w14:paraId="3B44C041" w14:textId="4B0BD401" w:rsidR="00580714" w:rsidRPr="00612CD9" w:rsidRDefault="00580714" w:rsidP="00072D2C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12CD9">
              <w:rPr>
                <w:rFonts w:eastAsia="Times New Roman" w:cs="Arial"/>
                <w:b/>
                <w:color w:val="auto"/>
                <w:sz w:val="21"/>
                <w:szCs w:val="21"/>
              </w:rPr>
              <w:t>Bay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66406E05" w14:textId="067E6DBE" w:rsidR="00580714" w:rsidRPr="0055323B" w:rsidRDefault="00580714" w:rsidP="00072D2C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Athletic Trainers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0C99BA5" w14:textId="56A71DD7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447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164DD02" w14:textId="00E4EC52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525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57F8E49" w14:textId="4B5F8184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78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9826A53" w14:textId="3DEA0BD5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17</w:t>
            </w:r>
            <w:r w:rsidRPr="0055323B">
              <w:rPr>
                <w:rFonts w:eastAsia="Times New Roman" w:cs="Arial"/>
                <w:color w:val="auto"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B35C9E4" w14:textId="0B767859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189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98F2491" w14:textId="69FE52FA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5A691F4" w14:textId="293F67EC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$14.59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D74AB25" w14:textId="162C2B7F" w:rsidR="00580714" w:rsidRPr="0055323B" w:rsidRDefault="00580714" w:rsidP="00072D2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$23.39</w:t>
            </w:r>
          </w:p>
        </w:tc>
      </w:tr>
      <w:tr w:rsidR="00580714" w:rsidRPr="0055323B" w14:paraId="272F1C55" w14:textId="77777777" w:rsidTr="00580714">
        <w:trPr>
          <w:trHeight w:val="300"/>
        </w:trPr>
        <w:tc>
          <w:tcPr>
            <w:tcW w:w="987" w:type="dxa"/>
            <w:tcBorders>
              <w:top w:val="nil"/>
            </w:tcBorders>
            <w:vAlign w:val="center"/>
          </w:tcPr>
          <w:p w14:paraId="3752441E" w14:textId="68AA243C" w:rsidR="00580714" w:rsidRPr="00612CD9" w:rsidRDefault="00580714" w:rsidP="00070CD8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12CD9">
              <w:rPr>
                <w:rFonts w:eastAsia="Times New Roman" w:cs="Arial"/>
                <w:b/>
                <w:color w:val="auto"/>
                <w:sz w:val="21"/>
                <w:szCs w:val="21"/>
              </w:rPr>
              <w:t>East Bay</w:t>
            </w:r>
          </w:p>
        </w:tc>
        <w:tc>
          <w:tcPr>
            <w:tcW w:w="990" w:type="dxa"/>
            <w:vMerge/>
            <w:tcBorders>
              <w:top w:val="nil"/>
            </w:tcBorders>
            <w:vAlign w:val="center"/>
          </w:tcPr>
          <w:p w14:paraId="6A0C070A" w14:textId="13E555BE" w:rsidR="00580714" w:rsidRDefault="00580714" w:rsidP="00070CD8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770A29" w14:textId="5C064376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123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CDA693" w14:textId="0E9F33DF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143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7C53E2" w14:textId="2F452216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AACFF4" w14:textId="6956185F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16</w:t>
            </w:r>
            <w:r w:rsidRPr="0055323B">
              <w:rPr>
                <w:rFonts w:eastAsia="Times New Roman" w:cs="Arial"/>
                <w:color w:val="auto"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F8AF17" w14:textId="4B8813D2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61CAF8" w14:textId="3988D82D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FB435C2" w14:textId="734A0334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$13.42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5F7F06A7" w14:textId="7BC4317B" w:rsidR="00580714" w:rsidRDefault="00580714" w:rsidP="00070CD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$23.58</w:t>
            </w:r>
          </w:p>
        </w:tc>
      </w:tr>
    </w:tbl>
    <w:p w14:paraId="69ADC87C" w14:textId="31E9E5F2" w:rsidR="002155A4" w:rsidRPr="009857B9" w:rsidRDefault="00070CD8" w:rsidP="00612CD9">
      <w:pPr>
        <w:spacing w:line="240" w:lineRule="auto"/>
        <w:ind w:left="144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Pr="00612CD9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  <w:r>
        <w:rPr>
          <w:sz w:val="20"/>
          <w:szCs w:val="20"/>
        </w:rPr>
        <w:br/>
      </w:r>
      <w:r w:rsidRPr="00612CD9">
        <w:rPr>
          <w:b/>
          <w:sz w:val="20"/>
          <w:szCs w:val="20"/>
        </w:rPr>
        <w:t>East Bay Sub-Region</w:t>
      </w:r>
      <w:r>
        <w:rPr>
          <w:sz w:val="20"/>
          <w:szCs w:val="20"/>
        </w:rPr>
        <w:t xml:space="preserve"> includes Alameda and Contra Costa Counties</w:t>
      </w:r>
    </w:p>
    <w:p w14:paraId="4AF13083" w14:textId="6EEF9909" w:rsidR="002155A4" w:rsidRPr="00552133" w:rsidRDefault="002155A4" w:rsidP="00193BC4">
      <w:pPr>
        <w:pStyle w:val="Heading3"/>
        <w:rPr>
          <w:sz w:val="18"/>
        </w:rPr>
      </w:pPr>
      <w:r w:rsidRPr="00552133">
        <w:t xml:space="preserve">Job Postings in </w:t>
      </w:r>
      <w:r w:rsidR="009857B9">
        <w:t>Bay Region and East Bay Sub-Region</w:t>
      </w:r>
    </w:p>
    <w:p w14:paraId="7F7392B5" w14:textId="566E5B7B" w:rsidR="002155A4" w:rsidRPr="00552133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2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by Occupation </w:t>
      </w:r>
      <w:r w:rsidR="0055655F">
        <w:rPr>
          <w:b/>
        </w:rPr>
        <w:t>for latest 12 months (</w:t>
      </w:r>
      <w:r w:rsidR="00165174">
        <w:rPr>
          <w:b/>
        </w:rPr>
        <w:t>Nov. 2016 – Oct. 2017)</w:t>
      </w:r>
    </w:p>
    <w:tbl>
      <w:tblPr>
        <w:tblW w:w="557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350"/>
        <w:gridCol w:w="1440"/>
      </w:tblGrid>
      <w:tr w:rsidR="002155A4" w:rsidRPr="008409A0" w14:paraId="722B3D04" w14:textId="77777777" w:rsidTr="00580714">
        <w:trPr>
          <w:trHeight w:val="395"/>
        </w:trPr>
        <w:tc>
          <w:tcPr>
            <w:tcW w:w="2787" w:type="dxa"/>
            <w:shd w:val="clear" w:color="auto" w:fill="A9A9A9" w:themeFill="accent5"/>
            <w:noWrap/>
            <w:vAlign w:val="center"/>
            <w:hideMark/>
          </w:tcPr>
          <w:p w14:paraId="0FD02B62" w14:textId="77777777" w:rsidR="002155A4" w:rsidRPr="008409A0" w:rsidRDefault="002155A4" w:rsidP="00072D2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Occupation</w:t>
            </w:r>
          </w:p>
        </w:tc>
        <w:tc>
          <w:tcPr>
            <w:tcW w:w="135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3549FAE7" w14:textId="7E9B71C2" w:rsidR="002155A4" w:rsidRPr="008409A0" w:rsidRDefault="0016517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2155A4" w:rsidRPr="00C035EC" w14:paraId="22CC6F39" w14:textId="77777777" w:rsidTr="00580714">
        <w:trPr>
          <w:trHeight w:val="288"/>
        </w:trPr>
        <w:tc>
          <w:tcPr>
            <w:tcW w:w="2787" w:type="dxa"/>
            <w:shd w:val="clear" w:color="auto" w:fill="auto"/>
            <w:noWrap/>
            <w:vAlign w:val="center"/>
          </w:tcPr>
          <w:p w14:paraId="7FD0BF21" w14:textId="358AAE67" w:rsidR="002155A4" w:rsidRPr="00C035EC" w:rsidRDefault="00165174" w:rsidP="00193BC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Athletic Trainers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415EC9" w14:textId="32D651CB" w:rsidR="002155A4" w:rsidRPr="00C035EC" w:rsidRDefault="0016517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440" w:type="dxa"/>
            <w:vAlign w:val="center"/>
          </w:tcPr>
          <w:p w14:paraId="14DDF9FF" w14:textId="26DD53A7" w:rsidR="002155A4" w:rsidRPr="00C035EC" w:rsidRDefault="0016517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155A4" w:rsidRPr="00C035EC">
              <w:rPr>
                <w:rFonts w:eastAsia="Times New Roman"/>
              </w:rPr>
              <w:t>1</w:t>
            </w:r>
          </w:p>
        </w:tc>
      </w:tr>
    </w:tbl>
    <w:p w14:paraId="30962AE7" w14:textId="77777777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383C4EE2" w14:textId="77777777" w:rsidR="00750FFE" w:rsidRDefault="00750FFE" w:rsidP="002155A4">
      <w:pPr>
        <w:pStyle w:val="NoSpacing"/>
        <w:spacing w:after="120"/>
        <w:rPr>
          <w:b/>
        </w:rPr>
      </w:pPr>
    </w:p>
    <w:p w14:paraId="4B03BC9F" w14:textId="68A08982" w:rsidR="002155A4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>for Athletic Trainers (29-9091)</w:t>
      </w:r>
      <w:r w:rsidR="006E2B6C">
        <w:rPr>
          <w:b/>
        </w:rPr>
        <w:t xml:space="preserve"> for latest 12 months (Nov. 2016 – Oct. 2017)</w:t>
      </w:r>
    </w:p>
    <w:tbl>
      <w:tblPr>
        <w:tblW w:w="5469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5"/>
        <w:gridCol w:w="1242"/>
        <w:gridCol w:w="1242"/>
      </w:tblGrid>
      <w:tr w:rsidR="00750FFE" w:rsidRPr="008409A0" w14:paraId="4F94B1D0" w14:textId="77777777" w:rsidTr="00540995">
        <w:trPr>
          <w:trHeight w:val="360"/>
        </w:trPr>
        <w:tc>
          <w:tcPr>
            <w:tcW w:w="2985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750FFE" w:rsidRPr="008409A0" w:rsidRDefault="00750FFE" w:rsidP="00540995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242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750FFE" w:rsidRPr="008409A0" w:rsidRDefault="00750FFE" w:rsidP="00540995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242" w:type="dxa"/>
            <w:shd w:val="clear" w:color="auto" w:fill="717E10" w:themeFill="accent3"/>
            <w:vAlign w:val="center"/>
          </w:tcPr>
          <w:p w14:paraId="4770DB2A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East Bay</w:t>
            </w:r>
          </w:p>
        </w:tc>
      </w:tr>
      <w:tr w:rsidR="00750FFE" w:rsidRPr="00C035EC" w14:paraId="4C4DE574" w14:textId="77777777" w:rsidTr="00540995">
        <w:trPr>
          <w:trHeight w:val="242"/>
        </w:trPr>
        <w:tc>
          <w:tcPr>
            <w:tcW w:w="2985" w:type="dxa"/>
            <w:shd w:val="clear" w:color="auto" w:fill="auto"/>
            <w:noWrap/>
            <w:vAlign w:val="center"/>
          </w:tcPr>
          <w:p w14:paraId="167648BD" w14:textId="77777777" w:rsidR="00750FFE" w:rsidRPr="00C035EC" w:rsidRDefault="00750FFE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Athletic Trainer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2D13BC6" w14:textId="77777777" w:rsidR="00750FFE" w:rsidRPr="00C035EC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242" w:type="dxa"/>
            <w:vAlign w:val="center"/>
          </w:tcPr>
          <w:p w14:paraId="3FEEEEDA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750FFE" w:rsidRPr="00C035EC" w14:paraId="14AC95C7" w14:textId="77777777" w:rsidTr="00540995">
        <w:trPr>
          <w:trHeight w:val="242"/>
        </w:trPr>
        <w:tc>
          <w:tcPr>
            <w:tcW w:w="2985" w:type="dxa"/>
            <w:shd w:val="clear" w:color="auto" w:fill="auto"/>
            <w:noWrap/>
            <w:vAlign w:val="center"/>
          </w:tcPr>
          <w:p w14:paraId="63687F2F" w14:textId="77777777" w:rsidR="00750FFE" w:rsidRPr="00C035EC" w:rsidRDefault="00750FFE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Director of Athletics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AE42B6E" w14:textId="77777777" w:rsidR="00750FFE" w:rsidRPr="00C035EC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42" w:type="dxa"/>
            <w:vAlign w:val="center"/>
          </w:tcPr>
          <w:p w14:paraId="5E62F061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50FFE" w:rsidRPr="00C035EC" w14:paraId="2B83B750" w14:textId="77777777" w:rsidTr="00540995">
        <w:trPr>
          <w:trHeight w:val="224"/>
        </w:trPr>
        <w:tc>
          <w:tcPr>
            <w:tcW w:w="2985" w:type="dxa"/>
            <w:shd w:val="clear" w:color="auto" w:fill="auto"/>
            <w:noWrap/>
            <w:vAlign w:val="center"/>
          </w:tcPr>
          <w:p w14:paraId="3BFAB348" w14:textId="77777777" w:rsidR="00750FFE" w:rsidRPr="00C035EC" w:rsidRDefault="00750FFE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Director of Education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BBCAFA5" w14:textId="77777777" w:rsidR="00750FFE" w:rsidRPr="00C035EC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42" w:type="dxa"/>
            <w:vAlign w:val="center"/>
          </w:tcPr>
          <w:p w14:paraId="30AB024B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50FFE" w:rsidRPr="00C035EC" w14:paraId="05B35499" w14:textId="77777777" w:rsidTr="00540995">
        <w:trPr>
          <w:trHeight w:val="305"/>
        </w:trPr>
        <w:tc>
          <w:tcPr>
            <w:tcW w:w="2985" w:type="dxa"/>
            <w:shd w:val="clear" w:color="auto" w:fill="auto"/>
            <w:noWrap/>
            <w:vAlign w:val="center"/>
          </w:tcPr>
          <w:p w14:paraId="771C3726" w14:textId="77777777" w:rsidR="00750FFE" w:rsidRPr="00C035EC" w:rsidRDefault="00750FFE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Athletics Professional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07CAAC3" w14:textId="77777777" w:rsidR="00750FFE" w:rsidRPr="00C035EC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dxa"/>
            <w:vAlign w:val="center"/>
          </w:tcPr>
          <w:p w14:paraId="19AFBB5B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50FFE" w:rsidRPr="00552133" w14:paraId="6A934BB6" w14:textId="77777777" w:rsidTr="00540995">
        <w:trPr>
          <w:trHeight w:val="260"/>
        </w:trPr>
        <w:tc>
          <w:tcPr>
            <w:tcW w:w="2985" w:type="dxa"/>
            <w:shd w:val="clear" w:color="auto" w:fill="auto"/>
            <w:noWrap/>
            <w:vAlign w:val="center"/>
          </w:tcPr>
          <w:p w14:paraId="4BC13072" w14:textId="77777777" w:rsidR="00750FFE" w:rsidRPr="00C035EC" w:rsidRDefault="00750FFE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Deputy Director, Athletics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D6C6E77" w14:textId="77777777" w:rsidR="00750FFE" w:rsidRPr="00552133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42" w:type="dxa"/>
            <w:vAlign w:val="center"/>
          </w:tcPr>
          <w:p w14:paraId="53D69808" w14:textId="77777777" w:rsidR="00750FFE" w:rsidRDefault="00750FFE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0BB4BE43" w:rsidR="002155A4" w:rsidRDefault="002155A4" w:rsidP="002155A4">
      <w:pPr>
        <w:pStyle w:val="Heading1"/>
      </w:pPr>
      <w:r>
        <w:t>Industry Concentration</w:t>
      </w:r>
    </w:p>
    <w:p w14:paraId="449F9EC7" w14:textId="0650912E" w:rsidR="00DA25DC" w:rsidRDefault="00DA25DC" w:rsidP="00DA25DC">
      <w:pPr>
        <w:pStyle w:val="NoSpacing"/>
        <w:spacing w:after="120"/>
      </w:pPr>
      <w:r>
        <w:rPr>
          <w:b/>
        </w:rPr>
        <w:t>Table 4a</w:t>
      </w:r>
      <w:r w:rsidRPr="004C666A">
        <w:rPr>
          <w:b/>
        </w:rPr>
        <w:t>. In</w:t>
      </w:r>
      <w:r>
        <w:rPr>
          <w:b/>
        </w:rPr>
        <w:t>dustries hiring Athletic Trainers</w:t>
      </w:r>
      <w:r w:rsidRPr="004C666A">
        <w:rPr>
          <w:b/>
        </w:rPr>
        <w:t xml:space="preserve"> </w:t>
      </w:r>
      <w:r>
        <w:rPr>
          <w:b/>
        </w:rPr>
        <w:t>in the Bay Region at the three-digit NAICS code level</w:t>
      </w:r>
    </w:p>
    <w:tbl>
      <w:tblPr>
        <w:tblW w:w="90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27"/>
        <w:gridCol w:w="1530"/>
        <w:gridCol w:w="1530"/>
      </w:tblGrid>
      <w:tr w:rsidR="00DA25DC" w:rsidRPr="008409A0" w14:paraId="52A7563F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59AC9E" w14:textId="1F0238A0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Industry – 3 Digit NAICS (No. American Industry Classification) Codes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</w:tcPr>
          <w:p w14:paraId="304012AD" w14:textId="77777777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Jobs in Industry (2016)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5193231" w14:textId="77777777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% in Industry (2016)</w:t>
            </w:r>
          </w:p>
        </w:tc>
      </w:tr>
      <w:tr w:rsidR="00DA25DC" w:rsidRPr="00C035EC" w14:paraId="3A1B68E4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A47D8F" w14:textId="57E082D5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Ambulatory Health Care Services (621)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71CC83" w14:textId="79623385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DBF9747" w14:textId="1C892D38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32.2%</w:t>
            </w:r>
          </w:p>
        </w:tc>
      </w:tr>
      <w:tr w:rsidR="00DA25DC" w:rsidRPr="00C035EC" w14:paraId="44E76807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93D476" w14:textId="089F6EF3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Educational Services (611)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4A8057" w14:textId="3CA5FD53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2A82C4" w14:textId="028BC344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19.8%</w:t>
            </w:r>
          </w:p>
        </w:tc>
      </w:tr>
      <w:tr w:rsidR="00DA25DC" w:rsidRPr="00C035EC" w14:paraId="211CBC2E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8EB1AD" w14:textId="160B3420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Local or State Government (903 and 902)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433196" w14:textId="430091F7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1D20528" w14:textId="068892F5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17.8%</w:t>
            </w:r>
          </w:p>
        </w:tc>
      </w:tr>
      <w:tr w:rsidR="00DA25DC" w:rsidRPr="00C035EC" w14:paraId="7A8B9847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6BF2DF" w14:textId="52379028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Amusement, Gambling, and Recreation Industries (713)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513DC3" w14:textId="24C4E8E0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5BB3923" w14:textId="40350D4F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10.8%</w:t>
            </w:r>
          </w:p>
        </w:tc>
      </w:tr>
      <w:tr w:rsidR="00DA25DC" w:rsidRPr="00C035EC" w14:paraId="3A7B842A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5DCE35" w14:textId="3F35DAB1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Hospitals (622)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BCAF2E" w14:textId="1B7A7445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994F13" w14:textId="618FC772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8.8%</w:t>
            </w:r>
          </w:p>
        </w:tc>
      </w:tr>
      <w:tr w:rsidR="00DA25DC" w:rsidRPr="00C035EC" w14:paraId="6ED760A0" w14:textId="77777777" w:rsidTr="00580714">
        <w:trPr>
          <w:trHeight w:val="288"/>
        </w:trPr>
        <w:tc>
          <w:tcPr>
            <w:tcW w:w="602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8A0731" w14:textId="14E4AAB7" w:rsidR="00DA25DC" w:rsidRPr="00533CE2" w:rsidRDefault="00DA25DC" w:rsidP="000C5F7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sz w:val="21"/>
                <w:szCs w:val="21"/>
              </w:rPr>
              <w:t>Performing Arts, Spectator Sports, and Related Industries (711)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42A4A9" w14:textId="0C587FA6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0B3DAA2" w14:textId="74BE3205" w:rsidR="00DA25DC" w:rsidRPr="00533CE2" w:rsidRDefault="00DA25DC" w:rsidP="000C5F7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3.1%</w:t>
            </w:r>
          </w:p>
        </w:tc>
      </w:tr>
    </w:tbl>
    <w:p w14:paraId="57A2C9EB" w14:textId="77777777" w:rsidR="00DA25DC" w:rsidRPr="006E3877" w:rsidRDefault="00DA25DC" w:rsidP="00DA25DC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612AE15C" w14:textId="60AD3605" w:rsidR="002155A4" w:rsidRDefault="00220D3F" w:rsidP="00193BC4">
      <w:pPr>
        <w:pStyle w:val="NoSpacing"/>
        <w:spacing w:after="120"/>
      </w:pPr>
      <w:r>
        <w:rPr>
          <w:b/>
        </w:rPr>
        <w:t>Table 4</w:t>
      </w:r>
      <w:r w:rsidR="00DA25DC">
        <w:rPr>
          <w:b/>
        </w:rPr>
        <w:t>b</w:t>
      </w:r>
      <w:r w:rsidR="004C666A" w:rsidRPr="004C666A">
        <w:rPr>
          <w:b/>
        </w:rPr>
        <w:t xml:space="preserve">. </w:t>
      </w:r>
      <w:r w:rsidR="00DA25DC" w:rsidRPr="004C666A">
        <w:rPr>
          <w:b/>
        </w:rPr>
        <w:t>In</w:t>
      </w:r>
      <w:r w:rsidR="00DA25DC">
        <w:rPr>
          <w:b/>
        </w:rPr>
        <w:t>dustries hiring Athletic Trainers</w:t>
      </w:r>
      <w:r w:rsidR="00DA25DC" w:rsidRPr="004C666A">
        <w:rPr>
          <w:b/>
        </w:rPr>
        <w:t xml:space="preserve"> </w:t>
      </w:r>
      <w:r w:rsidR="00DA25DC">
        <w:rPr>
          <w:b/>
        </w:rPr>
        <w:t>in the Bay Region at the six-digit NAICS code level</w:t>
      </w:r>
    </w:p>
    <w:tbl>
      <w:tblPr>
        <w:tblW w:w="90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27"/>
        <w:gridCol w:w="1530"/>
        <w:gridCol w:w="1530"/>
      </w:tblGrid>
      <w:tr w:rsidR="004C666A" w:rsidRPr="008409A0" w14:paraId="07638B9F" w14:textId="77777777" w:rsidTr="00580714">
        <w:trPr>
          <w:trHeight w:val="288"/>
        </w:trPr>
        <w:tc>
          <w:tcPr>
            <w:tcW w:w="602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3ECBBF55" w:rsidR="004C666A" w:rsidRPr="00533CE2" w:rsidRDefault="004C666A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Industry</w:t>
            </w:r>
            <w:r w:rsidR="007759E5" w:rsidRPr="00533CE2">
              <w:rPr>
                <w:rFonts w:eastAsia="Times New Roman"/>
                <w:sz w:val="21"/>
                <w:szCs w:val="21"/>
              </w:rPr>
              <w:t xml:space="preserve"> – 6 Digit NAICS (No. American Industry Classification) Codes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4C666A" w:rsidRPr="00533CE2" w:rsidRDefault="004C666A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Jobs in Industry (2016)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DB0EC3B" w14:textId="77777777" w:rsidR="004C666A" w:rsidRPr="00533CE2" w:rsidRDefault="004C666A" w:rsidP="008409A0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% in Industry (2016)</w:t>
            </w:r>
          </w:p>
        </w:tc>
      </w:tr>
      <w:tr w:rsidR="004C666A" w:rsidRPr="00C035EC" w14:paraId="01AC674B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10F013BA" w14:textId="18FDE3BC" w:rsidR="004C666A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Fitness and Recreational Sports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5318C8D" w14:textId="3721AAD1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530" w:type="dxa"/>
            <w:vAlign w:val="center"/>
          </w:tcPr>
          <w:p w14:paraId="38E9F017" w14:textId="03BCFB39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14.2</w:t>
            </w:r>
            <w:r w:rsidR="004C666A" w:rsidRPr="00533CE2">
              <w:rPr>
                <w:rFonts w:eastAsia="Times New Roman"/>
                <w:sz w:val="21"/>
                <w:szCs w:val="21"/>
              </w:rPr>
              <w:t>%</w:t>
            </w:r>
          </w:p>
        </w:tc>
      </w:tr>
      <w:tr w:rsidR="004C666A" w:rsidRPr="00C035EC" w14:paraId="7D8591DD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4E035FEB" w14:textId="0DF0F9D3" w:rsidR="004C666A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Offic</w:t>
            </w:r>
            <w:r w:rsidR="00533CE2">
              <w:rPr>
                <w:rFonts w:eastAsia="Times New Roman"/>
                <w:sz w:val="21"/>
                <w:szCs w:val="21"/>
              </w:rPr>
              <w:t>es of Physical, Occupational &amp; Speech Therapists &amp;</w:t>
            </w:r>
            <w:r w:rsidRPr="00533CE2">
              <w:rPr>
                <w:rFonts w:eastAsia="Times New Roman"/>
                <w:sz w:val="21"/>
                <w:szCs w:val="21"/>
              </w:rPr>
              <w:t xml:space="preserve"> Audiologists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28392A3" w14:textId="049F8014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530" w:type="dxa"/>
            <w:vAlign w:val="center"/>
          </w:tcPr>
          <w:p w14:paraId="3C9D6702" w14:textId="64BA227B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11.3</w:t>
            </w:r>
            <w:r w:rsidR="004C666A" w:rsidRPr="00533CE2">
              <w:rPr>
                <w:rFonts w:eastAsia="Times New Roman"/>
                <w:sz w:val="21"/>
                <w:szCs w:val="21"/>
              </w:rPr>
              <w:t>%</w:t>
            </w:r>
          </w:p>
        </w:tc>
      </w:tr>
      <w:tr w:rsidR="004C666A" w:rsidRPr="00C035EC" w14:paraId="61A1AE55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0839B8D6" w14:textId="7CBF20CD" w:rsidR="004C666A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Colleges, Universities, and Professional Schools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748C70" w14:textId="0C1C4302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530" w:type="dxa"/>
            <w:vAlign w:val="center"/>
          </w:tcPr>
          <w:p w14:paraId="773C5BFB" w14:textId="0691ED1B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10.9</w:t>
            </w:r>
            <w:r w:rsidR="004C666A" w:rsidRPr="00533CE2">
              <w:rPr>
                <w:rFonts w:eastAsia="Times New Roman"/>
                <w:sz w:val="21"/>
                <w:szCs w:val="21"/>
              </w:rPr>
              <w:t>%</w:t>
            </w:r>
          </w:p>
        </w:tc>
      </w:tr>
      <w:tr w:rsidR="004C666A" w:rsidRPr="00C035EC" w14:paraId="17301052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12A9E05A" w14:textId="641A6D35" w:rsidR="004C666A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General Medical and Surgical Hospitals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A109EA3" w14:textId="5F19A1BE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530" w:type="dxa"/>
            <w:vAlign w:val="center"/>
          </w:tcPr>
          <w:p w14:paraId="0AA280B3" w14:textId="6B13F8B1" w:rsidR="004C666A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8</w:t>
            </w:r>
            <w:r w:rsidR="004C666A" w:rsidRPr="00533CE2">
              <w:rPr>
                <w:rFonts w:eastAsia="Times New Roman"/>
                <w:sz w:val="21"/>
                <w:szCs w:val="21"/>
              </w:rPr>
              <w:t>.6%</w:t>
            </w:r>
          </w:p>
        </w:tc>
      </w:tr>
      <w:tr w:rsidR="00220D3F" w:rsidRPr="00C035EC" w14:paraId="53529DDA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2685C966" w14:textId="6A8BCCAB" w:rsidR="00220D3F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Offices of All Other Miscellaneous Health Practitioners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58C1AEE" w14:textId="41822100" w:rsidR="00220D3F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530" w:type="dxa"/>
            <w:vAlign w:val="center"/>
          </w:tcPr>
          <w:p w14:paraId="1AF20FBE" w14:textId="3F813949" w:rsidR="00220D3F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6.3%</w:t>
            </w:r>
          </w:p>
        </w:tc>
      </w:tr>
      <w:tr w:rsidR="00220D3F" w:rsidRPr="00C035EC" w14:paraId="5AE9BFFC" w14:textId="77777777" w:rsidTr="00580714">
        <w:trPr>
          <w:trHeight w:val="288"/>
        </w:trPr>
        <w:tc>
          <w:tcPr>
            <w:tcW w:w="6027" w:type="dxa"/>
            <w:shd w:val="clear" w:color="auto" w:fill="auto"/>
            <w:noWrap/>
            <w:vAlign w:val="center"/>
          </w:tcPr>
          <w:p w14:paraId="2B1D5B96" w14:textId="7FBD51F8" w:rsidR="00220D3F" w:rsidRPr="00533CE2" w:rsidRDefault="00220D3F" w:rsidP="00072D2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Colleges, Universities, and Professional Schools (State Government)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4F6056" w14:textId="6F2CE2B3" w:rsidR="00220D3F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530" w:type="dxa"/>
            <w:vAlign w:val="center"/>
          </w:tcPr>
          <w:p w14:paraId="202F8ABA" w14:textId="5C501B78" w:rsidR="00220D3F" w:rsidRPr="00533CE2" w:rsidRDefault="00220D3F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33CE2">
              <w:rPr>
                <w:rFonts w:eastAsia="Times New Roman"/>
                <w:sz w:val="21"/>
                <w:szCs w:val="21"/>
              </w:rPr>
              <w:t>6.1%</w:t>
            </w:r>
          </w:p>
        </w:tc>
      </w:tr>
    </w:tbl>
    <w:p w14:paraId="6B20167B" w14:textId="0CAB9818" w:rsidR="006E3877" w:rsidRPr="006E3877" w:rsidRDefault="006E3877" w:rsidP="006E3877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4C9E14D6" w14:textId="61DD6A9D" w:rsidR="001342CC" w:rsidRDefault="006E3877" w:rsidP="001342CC">
      <w:pPr>
        <w:pStyle w:val="NoSpacing"/>
        <w:spacing w:after="120"/>
        <w:rPr>
          <w:b/>
        </w:rPr>
      </w:pPr>
      <w:r>
        <w:rPr>
          <w:b/>
        </w:rPr>
        <w:lastRenderedPageBreak/>
        <w:t>Table 5</w:t>
      </w:r>
      <w:r w:rsidR="001342CC" w:rsidRPr="00552133">
        <w:rPr>
          <w:b/>
        </w:rPr>
        <w:t xml:space="preserve">. Top Employers Posting Jobs </w:t>
      </w:r>
      <w:r>
        <w:rPr>
          <w:b/>
        </w:rPr>
        <w:t xml:space="preserve">in Bay Region and East Bay </w:t>
      </w:r>
      <w:r w:rsidR="00DA25DC">
        <w:rPr>
          <w:b/>
        </w:rPr>
        <w:t xml:space="preserve">for latest 12 months (Nov. 2016 - </w:t>
      </w:r>
      <w:r w:rsidR="006E2B6C">
        <w:rPr>
          <w:b/>
        </w:rPr>
        <w:t>Oct. 2017)</w:t>
      </w:r>
    </w:p>
    <w:tbl>
      <w:tblPr>
        <w:tblW w:w="683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7"/>
        <w:gridCol w:w="1350"/>
        <w:gridCol w:w="990"/>
      </w:tblGrid>
      <w:tr w:rsidR="006E3877" w:rsidRPr="008409A0" w14:paraId="23161B89" w14:textId="4F7F8C46" w:rsidTr="006E2B6C">
        <w:trPr>
          <w:trHeight w:val="408"/>
        </w:trPr>
        <w:tc>
          <w:tcPr>
            <w:tcW w:w="449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6E3877" w:rsidRPr="008409A0" w:rsidRDefault="006E3877" w:rsidP="00540995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Employer</w:t>
            </w:r>
          </w:p>
        </w:tc>
        <w:tc>
          <w:tcPr>
            <w:tcW w:w="1350" w:type="dxa"/>
            <w:shd w:val="clear" w:color="auto" w:fill="F2F8C9" w:themeFill="accent2" w:themeFillTint="33"/>
            <w:noWrap/>
            <w:vAlign w:val="center"/>
            <w:hideMark/>
          </w:tcPr>
          <w:p w14:paraId="262CE33B" w14:textId="66F697E7" w:rsidR="006E3877" w:rsidRPr="008409A0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990" w:type="dxa"/>
            <w:shd w:val="clear" w:color="auto" w:fill="F2F8C9" w:themeFill="accent2" w:themeFillTint="33"/>
            <w:vAlign w:val="center"/>
          </w:tcPr>
          <w:p w14:paraId="6B354194" w14:textId="4C1ED429" w:rsidR="006E3877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6E3877" w:rsidRPr="00DA0761" w14:paraId="1E177280" w14:textId="7521B709" w:rsidTr="006E2B6C">
        <w:trPr>
          <w:trHeight w:val="260"/>
        </w:trPr>
        <w:tc>
          <w:tcPr>
            <w:tcW w:w="4497" w:type="dxa"/>
            <w:shd w:val="clear" w:color="auto" w:fill="auto"/>
            <w:noWrap/>
            <w:vAlign w:val="center"/>
          </w:tcPr>
          <w:p w14:paraId="222B2D17" w14:textId="0F74280A" w:rsidR="006E3877" w:rsidRPr="00DA0761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 State University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6D886B" w14:textId="5B811BAB" w:rsidR="006E3877" w:rsidRPr="00DA0761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90" w:type="dxa"/>
            <w:vAlign w:val="center"/>
          </w:tcPr>
          <w:p w14:paraId="2977C03E" w14:textId="16F2A2B2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3877" w:rsidRPr="00DA0761" w14:paraId="6ED9109A" w14:textId="7216DA9E" w:rsidTr="006E2B6C">
        <w:trPr>
          <w:trHeight w:val="260"/>
        </w:trPr>
        <w:tc>
          <w:tcPr>
            <w:tcW w:w="4497" w:type="dxa"/>
            <w:shd w:val="clear" w:color="auto" w:fill="auto"/>
            <w:noWrap/>
            <w:vAlign w:val="center"/>
          </w:tcPr>
          <w:p w14:paraId="04905545" w14:textId="21E3E655" w:rsidR="006E3877" w:rsidRPr="00DA0761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University of California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023F775" w14:textId="148CDCDA" w:rsidR="006E3877" w:rsidRPr="00DA0761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90" w:type="dxa"/>
            <w:vAlign w:val="center"/>
          </w:tcPr>
          <w:p w14:paraId="71CDE644" w14:textId="33872BEB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E2B6C" w:rsidRPr="00DA0761" w14:paraId="0FC4DB35" w14:textId="77777777" w:rsidTr="006E2B6C">
        <w:trPr>
          <w:trHeight w:val="260"/>
        </w:trPr>
        <w:tc>
          <w:tcPr>
            <w:tcW w:w="4497" w:type="dxa"/>
            <w:shd w:val="clear" w:color="auto" w:fill="auto"/>
            <w:noWrap/>
            <w:vAlign w:val="center"/>
          </w:tcPr>
          <w:p w14:paraId="11BA9AD1" w14:textId="4D73AEF2" w:rsidR="006E2B6C" w:rsidRDefault="006E2B6C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Children’s Hospital &amp; Research Center Oakland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D2015E" w14:textId="26722299" w:rsidR="006E2B6C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198B4AE4" w14:textId="03A61EA7" w:rsidR="006E2B6C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E3877" w:rsidRPr="00DA0761" w14:paraId="3E324BD9" w14:textId="0307BD1C" w:rsidTr="006E2B6C">
        <w:trPr>
          <w:trHeight w:val="260"/>
        </w:trPr>
        <w:tc>
          <w:tcPr>
            <w:tcW w:w="4497" w:type="dxa"/>
            <w:shd w:val="clear" w:color="auto" w:fill="auto"/>
            <w:noWrap/>
            <w:vAlign w:val="center"/>
          </w:tcPr>
          <w:p w14:paraId="185EE0A1" w14:textId="46176868" w:rsidR="006E3877" w:rsidRPr="00DA0761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Lucile Packard Children’s Hospital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ADC3D8F" w14:textId="5B7D420D" w:rsidR="006E3877" w:rsidRPr="00DA0761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0" w:type="dxa"/>
            <w:vAlign w:val="center"/>
          </w:tcPr>
          <w:p w14:paraId="5AEE9F21" w14:textId="755838B7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3877" w:rsidRPr="00DA0761" w14:paraId="09CECB96" w14:textId="0F5BAB88" w:rsidTr="006E2B6C">
        <w:trPr>
          <w:trHeight w:val="260"/>
        </w:trPr>
        <w:tc>
          <w:tcPr>
            <w:tcW w:w="4497" w:type="dxa"/>
            <w:shd w:val="clear" w:color="auto" w:fill="auto"/>
            <w:noWrap/>
            <w:vAlign w:val="center"/>
          </w:tcPr>
          <w:p w14:paraId="2A94A6D0" w14:textId="3DD1A44C" w:rsidR="006E3877" w:rsidRPr="00DA0761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National Collegiate Athletic Association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D05161" w14:textId="01161496" w:rsidR="006E3877" w:rsidRPr="00DA0761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0" w:type="dxa"/>
            <w:vAlign w:val="center"/>
          </w:tcPr>
          <w:p w14:paraId="4AD03229" w14:textId="5484AB35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3877" w:rsidRPr="00552133" w14:paraId="44601FD3" w14:textId="302119C0" w:rsidTr="006E2B6C">
        <w:trPr>
          <w:trHeight w:val="269"/>
        </w:trPr>
        <w:tc>
          <w:tcPr>
            <w:tcW w:w="4497" w:type="dxa"/>
            <w:shd w:val="clear" w:color="auto" w:fill="auto"/>
            <w:noWrap/>
            <w:vAlign w:val="center"/>
          </w:tcPr>
          <w:p w14:paraId="5D64E8B2" w14:textId="254240A5" w:rsidR="006E3877" w:rsidRPr="00DA0761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Stanford University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3FDF24" w14:textId="4498738F" w:rsidR="006E3877" w:rsidRPr="00552133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0" w:type="dxa"/>
            <w:vAlign w:val="center"/>
          </w:tcPr>
          <w:p w14:paraId="00E59FD7" w14:textId="00A8EB4C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3877" w:rsidRPr="00552133" w14:paraId="704B5EB3" w14:textId="04319A5B" w:rsidTr="006E2B6C">
        <w:trPr>
          <w:trHeight w:val="269"/>
        </w:trPr>
        <w:tc>
          <w:tcPr>
            <w:tcW w:w="4497" w:type="dxa"/>
            <w:shd w:val="clear" w:color="auto" w:fill="auto"/>
            <w:noWrap/>
            <w:vAlign w:val="center"/>
          </w:tcPr>
          <w:p w14:paraId="2267361B" w14:textId="72B77BE8" w:rsidR="006E3877" w:rsidRDefault="006E3877" w:rsidP="005409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Palo Alto Unified School District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93770F" w14:textId="04196B65" w:rsidR="006E3877" w:rsidRDefault="006E3877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0" w:type="dxa"/>
            <w:vAlign w:val="center"/>
          </w:tcPr>
          <w:p w14:paraId="7DFB3EB7" w14:textId="6B576A52" w:rsidR="006E3877" w:rsidRDefault="006E2B6C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3EEB3C1E" w14:textId="5AAF927D" w:rsidR="00995018" w:rsidRPr="00823772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16F635D0" w14:textId="13B5C24A" w:rsidR="00B53E4A" w:rsidRDefault="00B53E4A" w:rsidP="002155A4">
      <w:pPr>
        <w:pStyle w:val="Heading1"/>
      </w:pPr>
      <w:r>
        <w:t>Educational Supply</w:t>
      </w:r>
    </w:p>
    <w:p w14:paraId="20921463" w14:textId="150F3F20" w:rsidR="00B53E4A" w:rsidRPr="00552133" w:rsidRDefault="00063D96" w:rsidP="008409A0">
      <w:pPr>
        <w:pStyle w:val="NoSpacing"/>
        <w:spacing w:after="120"/>
      </w:pPr>
      <w:r>
        <w:rPr>
          <w:b/>
        </w:rPr>
        <w:t>Table 6</w:t>
      </w:r>
      <w:r w:rsidR="00B53E4A" w:rsidRPr="00552133">
        <w:rPr>
          <w:b/>
        </w:rPr>
        <w:t xml:space="preserve">. </w:t>
      </w:r>
      <w:r w:rsidR="008409A0">
        <w:rPr>
          <w:b/>
        </w:rPr>
        <w:t>Number of Awards (Certificates and Degrees) Conferre</w:t>
      </w:r>
      <w:r w:rsidR="0016622A">
        <w:rPr>
          <w:b/>
        </w:rPr>
        <w:t xml:space="preserve">d by Postsecondary Institutions, Transfer and Headcount </w:t>
      </w:r>
      <w:r w:rsidR="009D39E7">
        <w:rPr>
          <w:b/>
        </w:rPr>
        <w:t>on 1228.00 Athletic Training and Sports Medicine or CIP 51.0913</w:t>
      </w:r>
      <w:r w:rsidR="00B53E4A" w:rsidRPr="00552133">
        <w:rPr>
          <w:b/>
        </w:rPr>
        <w:t xml:space="preserve"> </w:t>
      </w:r>
      <w:r w:rsidR="009D39E7">
        <w:rPr>
          <w:b/>
        </w:rPr>
        <w:t>Athletic Training/Trainer</w:t>
      </w:r>
    </w:p>
    <w:tbl>
      <w:tblPr>
        <w:tblW w:w="999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2070"/>
        <w:gridCol w:w="1080"/>
        <w:gridCol w:w="1440"/>
        <w:gridCol w:w="1260"/>
        <w:gridCol w:w="900"/>
      </w:tblGrid>
      <w:tr w:rsidR="00995018" w:rsidRPr="008409A0" w14:paraId="2A1F174C" w14:textId="77777777" w:rsidTr="00DA25DC">
        <w:trPr>
          <w:trHeight w:val="432"/>
          <w:jc w:val="center"/>
        </w:trPr>
        <w:tc>
          <w:tcPr>
            <w:tcW w:w="1800" w:type="dxa"/>
            <w:shd w:val="clear" w:color="auto" w:fill="BEE5FF"/>
            <w:noWrap/>
            <w:vAlign w:val="center"/>
            <w:hideMark/>
          </w:tcPr>
          <w:p w14:paraId="1F24D78F" w14:textId="167C7FA5" w:rsidR="00995018" w:rsidRPr="00DA25DC" w:rsidRDefault="00995018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College</w:t>
            </w:r>
          </w:p>
        </w:tc>
        <w:tc>
          <w:tcPr>
            <w:tcW w:w="1440" w:type="dxa"/>
            <w:shd w:val="clear" w:color="auto" w:fill="BEE5FF"/>
            <w:vAlign w:val="center"/>
          </w:tcPr>
          <w:p w14:paraId="18838924" w14:textId="25CB934A" w:rsidR="00995018" w:rsidRPr="00DA25DC" w:rsidRDefault="00995018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Sub-Region</w:t>
            </w:r>
          </w:p>
        </w:tc>
        <w:tc>
          <w:tcPr>
            <w:tcW w:w="2070" w:type="dxa"/>
            <w:shd w:val="clear" w:color="auto" w:fill="BEE5FF"/>
            <w:vAlign w:val="center"/>
            <w:hideMark/>
          </w:tcPr>
          <w:p w14:paraId="18D71ED7" w14:textId="7B237D19" w:rsidR="00995018" w:rsidRPr="00DA25DC" w:rsidRDefault="00995018" w:rsidP="006B55FA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789C47FE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Associate Degrees</w:t>
            </w:r>
          </w:p>
        </w:tc>
        <w:tc>
          <w:tcPr>
            <w:tcW w:w="144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995018" w:rsidRPr="00DA25DC" w:rsidRDefault="00995018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Certificates or Other Credit Awards</w:t>
            </w:r>
          </w:p>
        </w:tc>
        <w:tc>
          <w:tcPr>
            <w:tcW w:w="1260" w:type="dxa"/>
            <w:shd w:val="clear" w:color="auto" w:fill="F2F8C9" w:themeFill="accent2" w:themeFillTint="33"/>
            <w:vAlign w:val="center"/>
          </w:tcPr>
          <w:p w14:paraId="21DE11C0" w14:textId="5D5E4CBD" w:rsidR="00995018" w:rsidRPr="00DA25DC" w:rsidRDefault="00995018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No. of Transfer Students</w:t>
            </w:r>
          </w:p>
        </w:tc>
        <w:tc>
          <w:tcPr>
            <w:tcW w:w="90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995018" w:rsidRPr="00DA25DC" w:rsidRDefault="00995018" w:rsidP="00072D2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Total  Awards</w:t>
            </w:r>
          </w:p>
        </w:tc>
      </w:tr>
      <w:tr w:rsidR="00995018" w:rsidRPr="000444C7" w14:paraId="1C0ADCB5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136A231A" w14:textId="3C2B1489" w:rsidR="00995018" w:rsidRPr="00DA25DC" w:rsidRDefault="00995018" w:rsidP="00207B5E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Diablo Valley</w:t>
            </w:r>
          </w:p>
        </w:tc>
        <w:tc>
          <w:tcPr>
            <w:tcW w:w="1440" w:type="dxa"/>
            <w:vAlign w:val="center"/>
          </w:tcPr>
          <w:p w14:paraId="33377C2E" w14:textId="7392B09C" w:rsidR="00995018" w:rsidRPr="00DA25DC" w:rsidRDefault="00995018" w:rsidP="009D39E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9D14EF2" w14:textId="2FCCBD52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CE8417" w14:textId="6607CB1C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AE2898" w14:textId="5E286E9E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5A91AA67" w14:textId="48AFBC31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B39292" w14:textId="5F5BA9E5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</w:t>
            </w:r>
          </w:p>
        </w:tc>
      </w:tr>
      <w:tr w:rsidR="00995018" w:rsidRPr="000444C7" w14:paraId="2BA15091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67C1D45B" w14:textId="5BBFAC47" w:rsidR="00995018" w:rsidRPr="00DA25DC" w:rsidRDefault="00995018" w:rsidP="00207B5E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Foothill</w:t>
            </w:r>
          </w:p>
        </w:tc>
        <w:tc>
          <w:tcPr>
            <w:tcW w:w="1440" w:type="dxa"/>
            <w:vAlign w:val="center"/>
          </w:tcPr>
          <w:p w14:paraId="104538E8" w14:textId="1A7B5BE7" w:rsidR="00995018" w:rsidRPr="00DA25DC" w:rsidRDefault="00995018" w:rsidP="009D39E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Silicon Valley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1FCA7A4" w14:textId="6CF64747" w:rsidR="00995018" w:rsidRPr="00DA25DC" w:rsidRDefault="00995018" w:rsidP="001662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A25DC">
              <w:rPr>
                <w:rFonts w:eastAsia="Times New Roman"/>
                <w:sz w:val="18"/>
                <w:szCs w:val="18"/>
              </w:rPr>
              <w:t>on another TOP</w:t>
            </w:r>
            <w:r w:rsidR="0016622A" w:rsidRPr="00DA25DC">
              <w:rPr>
                <w:rFonts w:eastAsia="Times New Roman"/>
                <w:sz w:val="18"/>
                <w:szCs w:val="18"/>
              </w:rPr>
              <w:t xml:space="preserve">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B7E65E" w14:textId="5407EEE7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0D68EF" w14:textId="502898BC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283E24AC" w14:textId="6691B904" w:rsidR="00995018" w:rsidRPr="00DA25DC" w:rsidRDefault="008E416C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9E9063D" w14:textId="2143270F" w:rsidR="00995018" w:rsidRPr="00DA25DC" w:rsidRDefault="00995018" w:rsidP="00207B5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6F5744" w:rsidRPr="000444C7" w14:paraId="328C77E7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1919AE09" w14:textId="31C6EADA" w:rsidR="006F5744" w:rsidRPr="00DA25DC" w:rsidRDefault="006F5744" w:rsidP="0087274C">
            <w:pPr>
              <w:spacing w:after="0" w:line="240" w:lineRule="auto"/>
              <w:rPr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Monterey</w:t>
            </w:r>
          </w:p>
        </w:tc>
        <w:tc>
          <w:tcPr>
            <w:tcW w:w="1440" w:type="dxa"/>
            <w:vAlign w:val="center"/>
          </w:tcPr>
          <w:p w14:paraId="09365F5F" w14:textId="29462BBB" w:rsidR="006F5744" w:rsidRPr="00DA25DC" w:rsidRDefault="006F5744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SC-Monterey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5F579A9" w14:textId="549847BD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48FA13" w14:textId="2ACCA789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AE6EC9" w14:textId="0844092A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7DDD0496" w14:textId="3520544B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05DA17" w14:textId="344E9864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995018" w:rsidRPr="000444C7" w14:paraId="409E6BE1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669C8E8F" w14:textId="6340F7D5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Ohlone</w:t>
            </w:r>
          </w:p>
        </w:tc>
        <w:tc>
          <w:tcPr>
            <w:tcW w:w="1440" w:type="dxa"/>
            <w:vAlign w:val="center"/>
          </w:tcPr>
          <w:p w14:paraId="319A81F1" w14:textId="15EC4B2A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F15F385" w14:textId="41FC38FD" w:rsidR="00995018" w:rsidRPr="00DA25DC" w:rsidRDefault="0016622A" w:rsidP="008727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A25DC">
              <w:rPr>
                <w:rFonts w:eastAsia="Times New Roman"/>
                <w:sz w:val="18"/>
                <w:szCs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2BFA8D" w14:textId="4F64E5D0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37C6C5" w14:textId="40784F5F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04463F1F" w14:textId="15B83824" w:rsidR="00995018" w:rsidRPr="00DA25DC" w:rsidRDefault="008E416C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DE9F9E" w14:textId="73119321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</w:t>
            </w:r>
          </w:p>
        </w:tc>
      </w:tr>
      <w:tr w:rsidR="00995018" w:rsidRPr="000444C7" w14:paraId="0D1FB217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189D7DC4" w14:textId="4E7090A0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Santa Rosa</w:t>
            </w:r>
          </w:p>
        </w:tc>
        <w:tc>
          <w:tcPr>
            <w:tcW w:w="1440" w:type="dxa"/>
            <w:vAlign w:val="center"/>
          </w:tcPr>
          <w:p w14:paraId="7F7E3BA4" w14:textId="7FAC1BA7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North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CEE98AC" w14:textId="7409D3D3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6401D6" w14:textId="6CD14ADB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A73240" w14:textId="6289B8A4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39C3AF44" w14:textId="07A05C3F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F64773" w14:textId="15F02B8E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6F5744" w:rsidRPr="000444C7" w14:paraId="6F1D6320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4F4915E0" w14:textId="278A405E" w:rsidR="006F5744" w:rsidRPr="00DA25DC" w:rsidRDefault="006F5744" w:rsidP="0087274C">
            <w:pPr>
              <w:spacing w:after="0" w:line="240" w:lineRule="auto"/>
              <w:rPr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Solano</w:t>
            </w:r>
          </w:p>
        </w:tc>
        <w:tc>
          <w:tcPr>
            <w:tcW w:w="1440" w:type="dxa"/>
            <w:vAlign w:val="center"/>
          </w:tcPr>
          <w:p w14:paraId="41D90911" w14:textId="07276B70" w:rsidR="006F5744" w:rsidRPr="00DA25DC" w:rsidRDefault="006F5744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North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E3DB116" w14:textId="4DD20AA5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BF5FA6" w14:textId="3F456090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C54828" w14:textId="639654F8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6A6E131A" w14:textId="371FEC34" w:rsidR="006F5744" w:rsidRPr="00DA25DC" w:rsidRDefault="008E416C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BDFADDB" w14:textId="19469413" w:rsidR="006F5744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995018" w:rsidRPr="000444C7" w14:paraId="3237BB0B" w14:textId="77777777" w:rsidTr="00DA25DC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54F2F016" w14:textId="4F6939B1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sz w:val="21"/>
                <w:szCs w:val="21"/>
              </w:rPr>
              <w:t>West Valley</w:t>
            </w:r>
          </w:p>
        </w:tc>
        <w:tc>
          <w:tcPr>
            <w:tcW w:w="1440" w:type="dxa"/>
            <w:vAlign w:val="center"/>
          </w:tcPr>
          <w:p w14:paraId="59E1A056" w14:textId="4504A95A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Silicon Valley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6F15C47" w14:textId="4FC75F1F" w:rsidR="00995018" w:rsidRPr="00DA25DC" w:rsidRDefault="0016622A" w:rsidP="008727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A25DC">
              <w:rPr>
                <w:rFonts w:eastAsia="Times New Roman"/>
                <w:sz w:val="18"/>
                <w:szCs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6DD2ED" w14:textId="587D5035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41C4B6" w14:textId="34319BC9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2ED627F" w14:textId="6C83D7AD" w:rsidR="00995018" w:rsidRPr="00DA25DC" w:rsidRDefault="008E416C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0F4E32" w14:textId="2327A4E3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995018" w:rsidRPr="000444C7" w14:paraId="555B4B2F" w14:textId="77777777" w:rsidTr="00DA25DC">
        <w:trPr>
          <w:trHeight w:val="432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14:paraId="1F0F5789" w14:textId="79CCC9FF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Gurnick Academy of Medical Arts</w:t>
            </w:r>
          </w:p>
        </w:tc>
        <w:tc>
          <w:tcPr>
            <w:tcW w:w="1440" w:type="dxa"/>
            <w:vAlign w:val="center"/>
          </w:tcPr>
          <w:p w14:paraId="4CE34799" w14:textId="192C3591" w:rsidR="00995018" w:rsidRPr="00DA25DC" w:rsidRDefault="00995018" w:rsidP="0087274C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Mid-Peninsula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A9DE1A3" w14:textId="55D85371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E5ECE8" w14:textId="5A7AD8EB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BE26B8" w14:textId="6E323AF8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19CF9B30" w14:textId="2F7D850B" w:rsidR="00995018" w:rsidRPr="00DA25DC" w:rsidRDefault="008E416C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437138" w14:textId="27E8674C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A25DC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995018" w:rsidRPr="008409A0" w14:paraId="483B02BC" w14:textId="77777777" w:rsidTr="00DA25DC">
        <w:trPr>
          <w:trHeight w:val="288"/>
          <w:jc w:val="center"/>
        </w:trPr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14:paraId="6BA04812" w14:textId="77777777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C38CBBC" w14:textId="77777777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4E1F0CAD" w14:textId="52C3DEC0" w:rsidR="00995018" w:rsidRPr="00DA25DC" w:rsidRDefault="006F5744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A25DC">
              <w:rPr>
                <w:rFonts w:eastAsia="Times New Roman"/>
                <w:b/>
                <w:sz w:val="21"/>
                <w:szCs w:val="21"/>
              </w:rPr>
              <w:t>295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18361CB2" w14:textId="4D3C032C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A25DC">
              <w:rPr>
                <w:rFonts w:eastAsia="Times New Roman"/>
                <w:b/>
                <w:sz w:val="21"/>
                <w:szCs w:val="21"/>
              </w:rPr>
              <w:t>14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center"/>
          </w:tcPr>
          <w:p w14:paraId="6EF795F4" w14:textId="0568C088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A25DC">
              <w:rPr>
                <w:rFonts w:eastAsia="Times New Roman"/>
                <w:b/>
                <w:sz w:val="21"/>
                <w:szCs w:val="21"/>
              </w:rPr>
              <w:t>9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75A7F86" w14:textId="16DF1AC1" w:rsidR="00995018" w:rsidRPr="00DA25DC" w:rsidRDefault="008E416C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A25DC">
              <w:rPr>
                <w:rFonts w:eastAsia="Times New Roman"/>
                <w:b/>
                <w:sz w:val="21"/>
                <w:szCs w:val="21"/>
              </w:rPr>
              <w:t>38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98C58E4" w14:textId="4C814C57" w:rsidR="00995018" w:rsidRPr="00DA25DC" w:rsidRDefault="00995018" w:rsidP="0087274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A25DC">
              <w:rPr>
                <w:rFonts w:eastAsia="Times New Roman"/>
                <w:b/>
                <w:sz w:val="21"/>
                <w:szCs w:val="21"/>
              </w:rPr>
              <w:t>25</w:t>
            </w:r>
          </w:p>
        </w:tc>
      </w:tr>
    </w:tbl>
    <w:p w14:paraId="6D34E871" w14:textId="7C5DB842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3272B2D0" w14:textId="42EFE209" w:rsidR="0087274C" w:rsidRDefault="0087274C" w:rsidP="005E12FB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2015-16.  Associate degrees and Certificates for Community Colleges is the annual average for 2014-17 except for Santa Rosa. Since SJRC awarded Associates in 2017, then the total of that year </w:t>
      </w:r>
      <w:r w:rsidR="00995018">
        <w:rPr>
          <w:sz w:val="20"/>
          <w:szCs w:val="20"/>
        </w:rPr>
        <w:t>is shown rather than the three-</w:t>
      </w:r>
      <w:r w:rsidR="006B55FA">
        <w:rPr>
          <w:sz w:val="20"/>
          <w:szCs w:val="20"/>
        </w:rPr>
        <w:t xml:space="preserve">year average. For </w:t>
      </w:r>
      <w:r w:rsidR="006F5744">
        <w:rPr>
          <w:sz w:val="20"/>
          <w:szCs w:val="20"/>
        </w:rPr>
        <w:t>Gurnick</w:t>
      </w:r>
      <w:r w:rsidR="006B55FA">
        <w:rPr>
          <w:sz w:val="20"/>
          <w:szCs w:val="20"/>
        </w:rPr>
        <w:t xml:space="preserve">, the annual average is for 2013-16. </w:t>
      </w:r>
      <w:r w:rsidR="00995018">
        <w:rPr>
          <w:sz w:val="20"/>
          <w:szCs w:val="20"/>
        </w:rPr>
        <w:t>For transfer student count the three-year average is for 2012-15.</w:t>
      </w:r>
    </w:p>
    <w:p w14:paraId="07BF4F49" w14:textId="589D288D" w:rsidR="00012013" w:rsidRPr="00012013" w:rsidRDefault="00012013" w:rsidP="005E12FB">
      <w:pPr>
        <w:spacing w:line="240" w:lineRule="auto"/>
      </w:pPr>
      <w:r>
        <w:t xml:space="preserve">According to the Integrated Postsecondary Education Data System (IPEDS) from the National Center for Educational Statistics, there is only one </w:t>
      </w:r>
      <w:r w:rsidR="005E2429">
        <w:t xml:space="preserve">college issuing Bachelor’s degrees on the closest CIP match to our TOP code (51.0913 Athletic Training/Trainer) which is San Jose State. They awarded 13 Bachelor’s degrees on average over the three-year period 2013-16. </w:t>
      </w:r>
    </w:p>
    <w:p w14:paraId="1AE4D352" w14:textId="67060684" w:rsidR="002155A4" w:rsidRDefault="002155A4" w:rsidP="002155A4">
      <w:pPr>
        <w:pStyle w:val="Heading1"/>
      </w:pPr>
      <w:r>
        <w:t>Student Outcomes</w:t>
      </w:r>
    </w:p>
    <w:p w14:paraId="578BAF47" w14:textId="7A25B6DE" w:rsidR="00C673BF" w:rsidRDefault="00C673BF" w:rsidP="00CB7C98">
      <w:pPr>
        <w:spacing w:line="240" w:lineRule="auto"/>
      </w:pPr>
      <w:r>
        <w:t>Based on the information</w:t>
      </w:r>
      <w:r w:rsidR="00580714">
        <w:t xml:space="preserve"> available in the </w:t>
      </w:r>
      <w:r>
        <w:t>Launchb</w:t>
      </w:r>
      <w:r w:rsidR="00580714">
        <w:t>oard, students taking courses on</w:t>
      </w:r>
      <w:r>
        <w:t xml:space="preserve"> the</w:t>
      </w:r>
      <w:r w:rsidR="00EA77FC">
        <w:t xml:space="preserve"> TOP code are having success:</w:t>
      </w:r>
    </w:p>
    <w:p w14:paraId="24D0235E" w14:textId="4B8D7B0D" w:rsidR="00C673BF" w:rsidRPr="00C673BF" w:rsidRDefault="00EA77FC" w:rsidP="00C673BF">
      <w:pPr>
        <w:spacing w:after="0"/>
        <w:rPr>
          <w:b/>
        </w:rPr>
      </w:pPr>
      <w:r>
        <w:rPr>
          <w:b/>
        </w:rPr>
        <w:t>1228.00</w:t>
      </w:r>
      <w:r w:rsidR="00C673BF" w:rsidRPr="00C673BF">
        <w:rPr>
          <w:b/>
        </w:rPr>
        <w:t xml:space="preserve"> </w:t>
      </w:r>
      <w:r>
        <w:rPr>
          <w:b/>
        </w:rPr>
        <w:t xml:space="preserve">Athletic Training and Sports Medicine </w:t>
      </w:r>
      <w:r w:rsidR="00C673BF" w:rsidRPr="00C673BF">
        <w:rPr>
          <w:b/>
        </w:rPr>
        <w:t xml:space="preserve">in </w:t>
      </w:r>
      <w:r>
        <w:rPr>
          <w:b/>
        </w:rPr>
        <w:t>Bay</w:t>
      </w:r>
      <w:r w:rsidR="00C673BF" w:rsidRPr="00C673BF">
        <w:rPr>
          <w:b/>
        </w:rPr>
        <w:t xml:space="preserve"> Region community colleges:</w:t>
      </w:r>
    </w:p>
    <w:p w14:paraId="0501108E" w14:textId="781AC0AA" w:rsidR="00EA77FC" w:rsidRDefault="00EA77FC" w:rsidP="00C673BF">
      <w:pPr>
        <w:pStyle w:val="ListParagraph"/>
        <w:numPr>
          <w:ilvl w:val="0"/>
          <w:numId w:val="2"/>
        </w:numPr>
        <w:ind w:hanging="360"/>
      </w:pPr>
      <w:r>
        <w:t>36 stu</w:t>
      </w:r>
      <w:r w:rsidR="005F1B11">
        <w:t>dents transferred in the Bay R</w:t>
      </w:r>
      <w:r>
        <w:t>egion in 2014-15</w:t>
      </w:r>
      <w:r w:rsidR="003D0957">
        <w:t xml:space="preserve">.  </w:t>
      </w:r>
      <w:r>
        <w:t>The annual aver</w:t>
      </w:r>
      <w:r w:rsidR="003D0957">
        <w:t>age for 2012-15 was 39 students. The transfer rate for this TOP code is 12.2%, which is three times higher than the transfer rate for students across all TOP codes (CTE and not CTE) in the region at 3.7%.</w:t>
      </w:r>
    </w:p>
    <w:p w14:paraId="5FE98831" w14:textId="273C15F8" w:rsidR="00C673BF" w:rsidRDefault="00EA77FC" w:rsidP="00C673BF">
      <w:pPr>
        <w:pStyle w:val="ListParagraph"/>
        <w:numPr>
          <w:ilvl w:val="0"/>
          <w:numId w:val="2"/>
        </w:numPr>
        <w:ind w:hanging="360"/>
      </w:pPr>
      <w:r>
        <w:t>Only 33</w:t>
      </w:r>
      <w:r w:rsidR="00C673BF">
        <w:t>% of students were making a living wage after the coursework at a community college in the region</w:t>
      </w:r>
      <w:r>
        <w:t xml:space="preserve"> in 2014-15</w:t>
      </w:r>
      <w:r w:rsidR="005F1B11">
        <w:t xml:space="preserve">. Data is not available to calculate </w:t>
      </w:r>
      <w:r w:rsidR="00995018">
        <w:t>a three-</w:t>
      </w:r>
      <w:r w:rsidR="005F1B11">
        <w:t xml:space="preserve">year annual average for 2013-14. Only 9% were earning a living wage in 2012-13. </w:t>
      </w:r>
    </w:p>
    <w:p w14:paraId="2BDE7FE9" w14:textId="1BBF5280" w:rsidR="00EA77FC" w:rsidRDefault="00EA77FC" w:rsidP="00C673BF">
      <w:pPr>
        <w:pStyle w:val="ListParagraph"/>
        <w:numPr>
          <w:ilvl w:val="0"/>
          <w:numId w:val="2"/>
        </w:numPr>
        <w:ind w:hanging="360"/>
      </w:pPr>
      <w:r>
        <w:t>65% of students were employed four quarters after exit from community college in 2014-15.</w:t>
      </w:r>
      <w:r w:rsidR="005F1B11">
        <w:t xml:space="preserve"> The average for 2012-15 is 60% in the Bay Region.</w:t>
      </w:r>
      <w:r w:rsidR="003D0957">
        <w:t xml:space="preserve"> This is lower than the regional average across all programs for the same period at 68%.</w:t>
      </w:r>
    </w:p>
    <w:p w14:paraId="1D1A9EBD" w14:textId="5ADD0397" w:rsidR="00C673BF" w:rsidRDefault="00EA77FC" w:rsidP="00C673BF">
      <w:pPr>
        <w:pStyle w:val="ListParagraph"/>
        <w:numPr>
          <w:ilvl w:val="0"/>
          <w:numId w:val="2"/>
        </w:numPr>
        <w:ind w:hanging="360"/>
      </w:pPr>
      <w:r>
        <w:lastRenderedPageBreak/>
        <w:t>Median earnings in the second quarter after exit was $6,166 in 2014-15.  Th</w:t>
      </w:r>
      <w:r w:rsidR="005F1B11">
        <w:t>e average for 2012-15 is $4,930 in the Bay Region.</w:t>
      </w:r>
      <w:r w:rsidR="00995018">
        <w:t xml:space="preserve"> The three-year average is far below the regional average for all programs, which is $12,414 or 157% higher.</w:t>
      </w:r>
    </w:p>
    <w:p w14:paraId="21487175" w14:textId="3D63E913" w:rsidR="00C673BF" w:rsidRDefault="00EA77FC" w:rsidP="00C673BF">
      <w:pPr>
        <w:pStyle w:val="ListParagraph"/>
        <w:numPr>
          <w:ilvl w:val="0"/>
          <w:numId w:val="2"/>
        </w:numPr>
        <w:ind w:hanging="360"/>
      </w:pPr>
      <w:r>
        <w:t>Students had a 107% wage gain in 2014-15.  However, the annual a</w:t>
      </w:r>
      <w:r w:rsidR="005F1B11">
        <w:t>verage for 2</w:t>
      </w:r>
      <w:r w:rsidR="0016622A">
        <w:t xml:space="preserve">012-15 is </w:t>
      </w:r>
      <w:r w:rsidR="005F1B11">
        <w:t>36% in the Bay R</w:t>
      </w:r>
      <w:r w:rsidR="0016622A">
        <w:t>egion, but that rate is still higher by 8% than t</w:t>
      </w:r>
      <w:r w:rsidR="00995018">
        <w:t xml:space="preserve">he wage gained experienced by students in all TOP codes for the region for the same three-year period </w:t>
      </w:r>
      <w:r w:rsidR="0016622A">
        <w:t>at 28%.</w:t>
      </w:r>
    </w:p>
    <w:p w14:paraId="6C18CED1" w14:textId="64128DBD" w:rsidR="00891DFA" w:rsidRDefault="002155A4" w:rsidP="00891DFA">
      <w:pPr>
        <w:pStyle w:val="Heading1"/>
      </w:pPr>
      <w:r>
        <w:t>Skill &amp; Certifications</w:t>
      </w:r>
    </w:p>
    <w:p w14:paraId="0EC30A29" w14:textId="50DF09DA" w:rsidR="001342CC" w:rsidRPr="00552133" w:rsidRDefault="000030EB" w:rsidP="000030EB">
      <w:pPr>
        <w:spacing w:line="240" w:lineRule="auto"/>
        <w:rPr>
          <w:b/>
        </w:rPr>
      </w:pPr>
      <w:r>
        <w:t>Table 7</w:t>
      </w:r>
      <w:r w:rsidR="001342CC" w:rsidRPr="00552133">
        <w:t xml:space="preserve"> provides the top skills </w:t>
      </w:r>
      <w:r w:rsidR="00012013">
        <w:t>and certifications that appear</w:t>
      </w:r>
      <w:r w:rsidR="001342CC" w:rsidRPr="00552133">
        <w:t xml:space="preserve"> </w:t>
      </w:r>
      <w:r w:rsidR="001342CC">
        <w:t xml:space="preserve">to be frequently listed </w:t>
      </w:r>
      <w:r w:rsidR="001342CC" w:rsidRPr="00552133">
        <w:t xml:space="preserve">in the job </w:t>
      </w:r>
      <w:r w:rsidR="001342CC">
        <w:t>advertisements</w:t>
      </w:r>
      <w:r w:rsidR="001342CC" w:rsidRPr="00552133">
        <w:t xml:space="preserve"> </w:t>
      </w:r>
      <w:r w:rsidR="001342CC">
        <w:t>for</w:t>
      </w:r>
      <w:r w:rsidR="001342CC" w:rsidRPr="00552133">
        <w:t xml:space="preserve"> </w:t>
      </w:r>
      <w:r w:rsidR="00484A61">
        <w:t>Athletic Trainers</w:t>
      </w:r>
      <w:r w:rsidR="00012013">
        <w:t xml:space="preserve"> over the latest 12 month period.</w:t>
      </w:r>
    </w:p>
    <w:p w14:paraId="6B697F77" w14:textId="3FCAB288" w:rsidR="001342CC" w:rsidRPr="00552133" w:rsidRDefault="00063D96" w:rsidP="001342CC">
      <w:pPr>
        <w:pStyle w:val="NoSpacing"/>
        <w:spacing w:after="120"/>
        <w:rPr>
          <w:b/>
        </w:rPr>
      </w:pPr>
      <w:r>
        <w:rPr>
          <w:b/>
        </w:rPr>
        <w:t>Table 7</w:t>
      </w:r>
      <w:r w:rsidR="001342CC" w:rsidRPr="00552133">
        <w:rPr>
          <w:b/>
        </w:rPr>
        <w:t xml:space="preserve">. Top Skills &amp; Certifications for </w:t>
      </w:r>
      <w:r>
        <w:rPr>
          <w:b/>
        </w:rPr>
        <w:t>Athletic Trainers in the Bay Region (Nov 2016 – Oct 2017)</w:t>
      </w:r>
    </w:p>
    <w:tbl>
      <w:tblPr>
        <w:tblW w:w="1053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4320"/>
        <w:gridCol w:w="1440"/>
      </w:tblGrid>
      <w:tr w:rsidR="001342CC" w:rsidRPr="00DA0761" w14:paraId="513A28BD" w14:textId="77777777" w:rsidTr="00580714">
        <w:trPr>
          <w:trHeight w:val="530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94BD764" w14:textId="77777777" w:rsidR="001342CC" w:rsidRPr="00CB7C98" w:rsidRDefault="001342CC" w:rsidP="00072D2C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CB7C98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CB7C98">
              <w:rPr>
                <w:b/>
                <w:sz w:val="21"/>
                <w:szCs w:val="21"/>
              </w:rPr>
              <w:t>Latest 12 Mos. Postings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E7E" w:themeFill="background2"/>
            <w:vAlign w:val="center"/>
          </w:tcPr>
          <w:p w14:paraId="076EE4FD" w14:textId="77777777" w:rsidR="001342CC" w:rsidRPr="00CB7C98" w:rsidRDefault="001342CC" w:rsidP="00072D2C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CB7C98">
              <w:rPr>
                <w:rFonts w:eastAsia="Times New Roman"/>
                <w:b/>
                <w:sz w:val="21"/>
                <w:szCs w:val="21"/>
              </w:rPr>
              <w:t>Certification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shd w:val="clear" w:color="auto" w:fill="E1EE7E" w:themeFill="background2"/>
            <w:vAlign w:val="center"/>
          </w:tcPr>
          <w:p w14:paraId="44537848" w14:textId="7F318548" w:rsidR="001342CC" w:rsidRPr="00CB7C98" w:rsidRDefault="005C5650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B7C98">
              <w:rPr>
                <w:rFonts w:eastAsia="Times New Roman"/>
                <w:b/>
                <w:sz w:val="21"/>
                <w:szCs w:val="21"/>
              </w:rPr>
              <w:t>Latest 12 Mos. Pos</w:t>
            </w:r>
            <w:r w:rsidR="005E2429" w:rsidRPr="00CB7C98">
              <w:rPr>
                <w:rFonts w:eastAsia="Times New Roman"/>
                <w:b/>
                <w:sz w:val="21"/>
                <w:szCs w:val="21"/>
              </w:rPr>
              <w:t>t</w:t>
            </w:r>
            <w:r w:rsidRPr="00CB7C98">
              <w:rPr>
                <w:rFonts w:eastAsia="Times New Roman"/>
                <w:b/>
                <w:sz w:val="21"/>
                <w:szCs w:val="21"/>
              </w:rPr>
              <w:t>ings</w:t>
            </w:r>
          </w:p>
        </w:tc>
      </w:tr>
      <w:tr w:rsidR="001342CC" w:rsidRPr="00DA0761" w14:paraId="2BFD9921" w14:textId="77777777" w:rsidTr="00580714">
        <w:trPr>
          <w:trHeight w:val="278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39B88C" w14:textId="55E7F5DE" w:rsidR="001342CC" w:rsidRPr="00CB7C98" w:rsidRDefault="001342CC" w:rsidP="002620D5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Re</w:t>
            </w:r>
            <w:r w:rsidR="002620D5" w:rsidRPr="00CB7C98">
              <w:rPr>
                <w:sz w:val="21"/>
                <w:szCs w:val="21"/>
              </w:rPr>
              <w:t>habilitation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99D31" w14:textId="78AD5550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62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01B79" w14:textId="26C06A1B" w:rsidR="001342CC" w:rsidRPr="00CB7C98" w:rsidRDefault="00CB7C98" w:rsidP="00072D2C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First Aid</w:t>
            </w:r>
            <w:r w:rsidR="002620D5" w:rsidRPr="00CB7C98">
              <w:rPr>
                <w:rFonts w:eastAsia="Times New Roman"/>
                <w:sz w:val="21"/>
                <w:szCs w:val="21"/>
              </w:rPr>
              <w:t xml:space="preserve"> CPR AED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EAAD0D" w14:textId="77598C03" w:rsidR="001342CC" w:rsidRPr="00CB7C98" w:rsidRDefault="002620D5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54</w:t>
            </w:r>
          </w:p>
        </w:tc>
      </w:tr>
      <w:tr w:rsidR="001342CC" w:rsidRPr="00DA0761" w14:paraId="7539BEFF" w14:textId="77777777" w:rsidTr="00580714">
        <w:trPr>
          <w:trHeight w:val="260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AE84375" w14:textId="2785824B" w:rsidR="001342CC" w:rsidRPr="00CB7C98" w:rsidRDefault="002620D5" w:rsidP="00072D2C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Sports Injuries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0A961" w14:textId="05DEE4F7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47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EF230" w14:textId="72E96267" w:rsidR="001342CC" w:rsidRPr="00CB7C98" w:rsidRDefault="00CB7C98" w:rsidP="00072D2C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Certified Athletic Trainer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A3DF055" w14:textId="337360A5" w:rsidR="001342CC" w:rsidRPr="00CB7C98" w:rsidRDefault="002620D5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39</w:t>
            </w:r>
          </w:p>
        </w:tc>
      </w:tr>
      <w:tr w:rsidR="001342CC" w:rsidRPr="00DA0761" w14:paraId="7CFF722F" w14:textId="77777777" w:rsidTr="00580714">
        <w:trPr>
          <w:trHeight w:val="260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613FD6" w14:textId="1B10A183" w:rsidR="001342CC" w:rsidRPr="00CB7C98" w:rsidRDefault="002620D5" w:rsidP="00072D2C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Cardiopulmonary Resuscitation (CPR)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AD0AF" w14:textId="66B18F40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44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782E" w14:textId="385DAEA2" w:rsidR="001342CC" w:rsidRPr="00CB7C98" w:rsidRDefault="00CB7C98" w:rsidP="00072D2C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Athletic Trainer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A0355CD" w14:textId="55D25861" w:rsidR="001342CC" w:rsidRPr="00CB7C98" w:rsidRDefault="002620D5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30</w:t>
            </w:r>
          </w:p>
        </w:tc>
      </w:tr>
      <w:tr w:rsidR="001342CC" w:rsidRPr="00DA0761" w14:paraId="127D44B8" w14:textId="77777777" w:rsidTr="00580714">
        <w:trPr>
          <w:trHeight w:val="260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CC77AC" w14:textId="6C0B2333" w:rsidR="001342CC" w:rsidRPr="00CB7C98" w:rsidRDefault="002620D5" w:rsidP="00072D2C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Injury Prevention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7F267" w14:textId="6C4F03EE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43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B2910" w14:textId="21711D5D" w:rsidR="001342CC" w:rsidRPr="00CB7C98" w:rsidRDefault="002620D5" w:rsidP="00CB7C9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 xml:space="preserve">BOC </w:t>
            </w:r>
            <w:r w:rsidR="00CB7C98" w:rsidRPr="00CB7C98">
              <w:rPr>
                <w:rFonts w:eastAsia="Times New Roman"/>
                <w:sz w:val="21"/>
                <w:szCs w:val="21"/>
              </w:rPr>
              <w:t>Certified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1234E3D" w14:textId="444F26B7" w:rsidR="001342CC" w:rsidRPr="00CB7C98" w:rsidRDefault="002620D5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9</w:t>
            </w:r>
          </w:p>
        </w:tc>
      </w:tr>
      <w:tr w:rsidR="001342CC" w:rsidRPr="00552133" w14:paraId="6B956817" w14:textId="77777777" w:rsidTr="00580714">
        <w:trPr>
          <w:trHeight w:val="260"/>
        </w:trPr>
        <w:tc>
          <w:tcPr>
            <w:tcW w:w="33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C1F00D" w14:textId="33658622" w:rsidR="001342CC" w:rsidRPr="00CB7C98" w:rsidRDefault="002620D5" w:rsidP="00072D2C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Budgeting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31F2E" w14:textId="3894D8D1" w:rsidR="001342CC" w:rsidRPr="00CB7C98" w:rsidRDefault="002620D5" w:rsidP="00072D2C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CB7C98">
              <w:rPr>
                <w:sz w:val="21"/>
                <w:szCs w:val="21"/>
              </w:rPr>
              <w:t>39</w:t>
            </w:r>
          </w:p>
        </w:tc>
        <w:tc>
          <w:tcPr>
            <w:tcW w:w="4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FF63D" w14:textId="32DCE104" w:rsidR="001342CC" w:rsidRPr="00CB7C98" w:rsidRDefault="002620D5" w:rsidP="00CB7C9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 xml:space="preserve">CITRIX </w:t>
            </w:r>
            <w:r w:rsidR="00CB7C98" w:rsidRPr="00CB7C98">
              <w:rPr>
                <w:rFonts w:eastAsia="Times New Roman"/>
                <w:sz w:val="21"/>
                <w:szCs w:val="21"/>
              </w:rPr>
              <w:t>Certified Advanced Administrator</w:t>
            </w:r>
            <w:r w:rsidRPr="00CB7C98">
              <w:rPr>
                <w:rFonts w:eastAsia="Times New Roman"/>
                <w:sz w:val="21"/>
                <w:szCs w:val="21"/>
              </w:rPr>
              <w:t xml:space="preserve"> (CCAA)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5D46436C" w14:textId="71878E90" w:rsidR="001342CC" w:rsidRPr="00CB7C98" w:rsidRDefault="002620D5" w:rsidP="00072D2C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CB7C98">
              <w:rPr>
                <w:rFonts w:eastAsia="Times New Roman"/>
                <w:sz w:val="21"/>
                <w:szCs w:val="21"/>
              </w:rPr>
              <w:t>5</w:t>
            </w:r>
          </w:p>
        </w:tc>
      </w:tr>
    </w:tbl>
    <w:p w14:paraId="15E34254" w14:textId="3F229D5D" w:rsidR="00CB7C98" w:rsidRPr="00CB7C98" w:rsidRDefault="00672665" w:rsidP="00CB7C98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3AA6452B" w14:textId="2D7C555B" w:rsidR="00B53E4A" w:rsidRDefault="00B53E4A" w:rsidP="00B53E4A">
      <w:pPr>
        <w:pStyle w:val="NoSpacing"/>
        <w:spacing w:after="120"/>
        <w:rPr>
          <w:b/>
        </w:rPr>
      </w:pPr>
      <w:r w:rsidRPr="00552133">
        <w:rPr>
          <w:b/>
        </w:rPr>
        <w:t>Ta</w:t>
      </w:r>
      <w:r w:rsidR="00823772">
        <w:rPr>
          <w:b/>
        </w:rPr>
        <w:t>ble 8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62EFAE11" w14:textId="690DDCB2" w:rsidR="00CB7C98" w:rsidRPr="00CB7C98" w:rsidRDefault="00CB7C98" w:rsidP="00CB7C98">
      <w:pPr>
        <w:spacing w:before="60" w:after="120" w:line="240" w:lineRule="auto"/>
      </w:pPr>
      <w:r>
        <w:t xml:space="preserve">Note: Approximately 34% </w:t>
      </w:r>
      <w:r w:rsidRPr="00552133">
        <w:t xml:space="preserve">of </w:t>
      </w:r>
      <w:r>
        <w:t xml:space="preserve">job advertisements studied did not list </w:t>
      </w:r>
      <w:r w:rsidRPr="00552133">
        <w:t xml:space="preserve">a degree level. </w:t>
      </w:r>
    </w:p>
    <w:tbl>
      <w:tblPr>
        <w:tblW w:w="683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2512"/>
      </w:tblGrid>
      <w:tr w:rsidR="00B53E4A" w:rsidRPr="00934F1F" w14:paraId="0F2821CA" w14:textId="77777777" w:rsidTr="00CB7C98">
        <w:trPr>
          <w:trHeight w:val="260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B53E4A" w:rsidRPr="00934F1F" w:rsidRDefault="00B53E4A" w:rsidP="00072D2C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2512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B53E4A" w:rsidRPr="00934F1F" w:rsidRDefault="00672665" w:rsidP="00072D2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</w:tr>
      <w:tr w:rsidR="00B53E4A" w:rsidRPr="00934F1F" w14:paraId="7D9004E4" w14:textId="77777777" w:rsidTr="00CB7C98">
        <w:trPr>
          <w:trHeight w:val="296"/>
        </w:trPr>
        <w:tc>
          <w:tcPr>
            <w:tcW w:w="0" w:type="auto"/>
            <w:shd w:val="clear" w:color="auto" w:fill="auto"/>
            <w:noWrap/>
            <w:vAlign w:val="center"/>
          </w:tcPr>
          <w:p w14:paraId="11A50200" w14:textId="77777777" w:rsidR="00B53E4A" w:rsidRPr="00934F1F" w:rsidRDefault="00B53E4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024A75A6" w14:textId="2229EAE5" w:rsidR="00B53E4A" w:rsidRPr="00934F1F" w:rsidRDefault="00672665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B53E4A" w:rsidRPr="00934F1F" w14:paraId="2354D0B1" w14:textId="77777777" w:rsidTr="00CB7C98">
        <w:trPr>
          <w:trHeight w:val="305"/>
        </w:trPr>
        <w:tc>
          <w:tcPr>
            <w:tcW w:w="0" w:type="auto"/>
            <w:shd w:val="clear" w:color="auto" w:fill="auto"/>
            <w:noWrap/>
            <w:vAlign w:val="center"/>
          </w:tcPr>
          <w:p w14:paraId="1918A9C0" w14:textId="77777777" w:rsidR="00B53E4A" w:rsidRPr="00934F1F" w:rsidRDefault="00B53E4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6234EC29" w14:textId="4669093C" w:rsidR="00B53E4A" w:rsidRPr="00934F1F" w:rsidRDefault="00672665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53E4A" w:rsidRPr="00552133" w14:paraId="38038CAF" w14:textId="77777777" w:rsidTr="00CB7C98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</w:tcPr>
          <w:p w14:paraId="07D6CA14" w14:textId="77777777" w:rsidR="00B53E4A" w:rsidRPr="00934F1F" w:rsidRDefault="00B53E4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Bachelor’s Degree or higher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56132872" w14:textId="7471176B" w:rsidR="00B53E4A" w:rsidRPr="00552133" w:rsidRDefault="00672665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C673BF"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>ata is sourced from Economic Modeling Specialists International (EMSI) occupation data and Burning Glass job postings data.</w:t>
      </w:r>
      <w:r w:rsidR="00C673BF" w:rsidRPr="00C673BF">
        <w:t xml:space="preserve"> </w:t>
      </w:r>
      <w:r w:rsidR="00C673BF">
        <w:t>Educational supply and student outcomes data is retrieved from multiple sources, including CTE Launchboard and CCCCO Data Mart.</w:t>
      </w:r>
    </w:p>
    <w:p w14:paraId="23D84151" w14:textId="77777777" w:rsidR="00C673BF" w:rsidRDefault="00C673BF" w:rsidP="00C673BF">
      <w:pPr>
        <w:pStyle w:val="Heading1"/>
      </w:pPr>
      <w:r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332ABA65" w:rsidR="004375A7" w:rsidRPr="004375A7" w:rsidRDefault="00C673BF" w:rsidP="0016622A">
      <w:pPr>
        <w:spacing w:after="60" w:line="240" w:lineRule="auto"/>
      </w:pPr>
      <w:r w:rsidRPr="00C673BF">
        <w:t>Chancellor’s Office MIS system</w:t>
      </w:r>
    </w:p>
    <w:sectPr w:rsidR="004375A7" w:rsidRPr="004375A7" w:rsidSect="00580714">
      <w:footerReference w:type="default" r:id="rId10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CB0D" w14:textId="77777777" w:rsidR="00412686" w:rsidRDefault="00412686" w:rsidP="00156651">
      <w:pPr>
        <w:spacing w:after="0" w:line="240" w:lineRule="auto"/>
      </w:pPr>
      <w:r>
        <w:separator/>
      </w:r>
    </w:p>
  </w:endnote>
  <w:endnote w:type="continuationSeparator" w:id="0">
    <w:p w14:paraId="035B082A" w14:textId="77777777" w:rsidR="00412686" w:rsidRDefault="00412686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BD98" w14:textId="6B399ADA" w:rsidR="00933AED" w:rsidRPr="00073F42" w:rsidRDefault="001E12FB" w:rsidP="00580714">
    <w:pPr>
      <w:pStyle w:val="Footer"/>
      <w:tabs>
        <w:tab w:val="clear" w:pos="4680"/>
        <w:tab w:val="center" w:pos="6660"/>
      </w:tabs>
      <w:jc w:val="right"/>
      <w:rPr>
        <w:bCs/>
      </w:rPr>
    </w:pPr>
    <w:r>
      <w:rPr>
        <w:bCs/>
      </w:rPr>
      <w:t>Athletic Trainers</w:t>
    </w:r>
    <w:r w:rsidR="00933AED">
      <w:rPr>
        <w:bCs/>
      </w:rPr>
      <w:t xml:space="preserve"> in </w:t>
    </w:r>
    <w:r>
      <w:rPr>
        <w:bCs/>
      </w:rPr>
      <w:t>12 County Bay Region</w:t>
    </w:r>
    <w:r w:rsidR="0055323B">
      <w:rPr>
        <w:bCs/>
      </w:rPr>
      <w:t xml:space="preserve">, </w:t>
    </w:r>
    <w:r w:rsidR="00933AED">
      <w:rPr>
        <w:bCs/>
      </w:rPr>
      <w:t>2017</w:t>
    </w:r>
    <w:r w:rsidR="00933AED" w:rsidRPr="00073F42">
      <w:rPr>
        <w:bCs/>
      </w:rPr>
      <w:tab/>
    </w:r>
    <w:r w:rsidR="00580714">
      <w:rPr>
        <w:bCs/>
      </w:rPr>
      <w:tab/>
    </w:r>
    <w:r w:rsidR="00580714" w:rsidRPr="00580714">
      <w:rPr>
        <w:bCs/>
      </w:rPr>
      <w:t xml:space="preserve">Page | </w:t>
    </w:r>
    <w:r w:rsidR="00580714" w:rsidRPr="00580714">
      <w:rPr>
        <w:bCs/>
      </w:rPr>
      <w:fldChar w:fldCharType="begin"/>
    </w:r>
    <w:r w:rsidR="00580714" w:rsidRPr="00580714">
      <w:rPr>
        <w:bCs/>
      </w:rPr>
      <w:instrText xml:space="preserve"> PAGE   \* MERGEFORMAT </w:instrText>
    </w:r>
    <w:r w:rsidR="00580714" w:rsidRPr="00580714">
      <w:rPr>
        <w:bCs/>
      </w:rPr>
      <w:fldChar w:fldCharType="separate"/>
    </w:r>
    <w:r w:rsidR="00DF29EC">
      <w:rPr>
        <w:bCs/>
        <w:noProof/>
      </w:rPr>
      <w:t>1</w:t>
    </w:r>
    <w:r w:rsidR="00580714" w:rsidRPr="00580714">
      <w:rPr>
        <w:bCs/>
        <w:noProof/>
      </w:rPr>
      <w:fldChar w:fldCharType="end"/>
    </w:r>
    <w:r w:rsidR="00933AED" w:rsidRPr="00073F42">
      <w:rPr>
        <w:bCs/>
      </w:rPr>
      <w:tab/>
    </w:r>
  </w:p>
  <w:p w14:paraId="784F6EC5" w14:textId="77777777" w:rsidR="00933AED" w:rsidRDefault="00933A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36EF" w14:textId="77777777" w:rsidR="00412686" w:rsidRDefault="00412686" w:rsidP="00156651">
      <w:pPr>
        <w:spacing w:after="0" w:line="240" w:lineRule="auto"/>
      </w:pPr>
      <w:r>
        <w:separator/>
      </w:r>
    </w:p>
  </w:footnote>
  <w:footnote w:type="continuationSeparator" w:id="0">
    <w:p w14:paraId="0D6D383C" w14:textId="77777777" w:rsidR="00412686" w:rsidRDefault="00412686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47E9"/>
    <w:multiLevelType w:val="hybridMultilevel"/>
    <w:tmpl w:val="3B0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1B2D"/>
    <w:rsid w:val="00034645"/>
    <w:rsid w:val="000444C7"/>
    <w:rsid w:val="00061CEE"/>
    <w:rsid w:val="00063D96"/>
    <w:rsid w:val="0006648C"/>
    <w:rsid w:val="00070CD8"/>
    <w:rsid w:val="00073F42"/>
    <w:rsid w:val="00081A00"/>
    <w:rsid w:val="000953D0"/>
    <w:rsid w:val="000B3343"/>
    <w:rsid w:val="000B616F"/>
    <w:rsid w:val="000C2BEB"/>
    <w:rsid w:val="000C5E06"/>
    <w:rsid w:val="000D2F65"/>
    <w:rsid w:val="000E04A8"/>
    <w:rsid w:val="0011153C"/>
    <w:rsid w:val="00112D22"/>
    <w:rsid w:val="00121B16"/>
    <w:rsid w:val="0012345F"/>
    <w:rsid w:val="00126113"/>
    <w:rsid w:val="001342CC"/>
    <w:rsid w:val="00156651"/>
    <w:rsid w:val="00165174"/>
    <w:rsid w:val="0016622A"/>
    <w:rsid w:val="00183536"/>
    <w:rsid w:val="00193BC4"/>
    <w:rsid w:val="00196029"/>
    <w:rsid w:val="001D3094"/>
    <w:rsid w:val="001D3430"/>
    <w:rsid w:val="001E12FB"/>
    <w:rsid w:val="001F688B"/>
    <w:rsid w:val="0020644F"/>
    <w:rsid w:val="00207B5E"/>
    <w:rsid w:val="00212919"/>
    <w:rsid w:val="002155A4"/>
    <w:rsid w:val="00220D3F"/>
    <w:rsid w:val="002344D1"/>
    <w:rsid w:val="0024018A"/>
    <w:rsid w:val="002423E0"/>
    <w:rsid w:val="002620D5"/>
    <w:rsid w:val="002670F8"/>
    <w:rsid w:val="00271FA8"/>
    <w:rsid w:val="00283076"/>
    <w:rsid w:val="00290568"/>
    <w:rsid w:val="002A358B"/>
    <w:rsid w:val="002A6F97"/>
    <w:rsid w:val="002C2C08"/>
    <w:rsid w:val="002D0026"/>
    <w:rsid w:val="003016CA"/>
    <w:rsid w:val="00310ABE"/>
    <w:rsid w:val="003120E2"/>
    <w:rsid w:val="00314A33"/>
    <w:rsid w:val="00317D20"/>
    <w:rsid w:val="00334B3A"/>
    <w:rsid w:val="00350196"/>
    <w:rsid w:val="0035393B"/>
    <w:rsid w:val="00355546"/>
    <w:rsid w:val="00383FE9"/>
    <w:rsid w:val="003C6671"/>
    <w:rsid w:val="003D0957"/>
    <w:rsid w:val="003F0294"/>
    <w:rsid w:val="003F4EB3"/>
    <w:rsid w:val="00404C11"/>
    <w:rsid w:val="00412686"/>
    <w:rsid w:val="00420500"/>
    <w:rsid w:val="00427CF5"/>
    <w:rsid w:val="0043602F"/>
    <w:rsid w:val="004375A7"/>
    <w:rsid w:val="004744E0"/>
    <w:rsid w:val="004745F0"/>
    <w:rsid w:val="00484A61"/>
    <w:rsid w:val="00485625"/>
    <w:rsid w:val="004A4F14"/>
    <w:rsid w:val="004A7CBA"/>
    <w:rsid w:val="004B329A"/>
    <w:rsid w:val="004B3C66"/>
    <w:rsid w:val="004C31BC"/>
    <w:rsid w:val="004C5C32"/>
    <w:rsid w:val="004C666A"/>
    <w:rsid w:val="004E0189"/>
    <w:rsid w:val="004F1CFB"/>
    <w:rsid w:val="004F59A7"/>
    <w:rsid w:val="00505298"/>
    <w:rsid w:val="00516A6D"/>
    <w:rsid w:val="00520FCD"/>
    <w:rsid w:val="00526EE8"/>
    <w:rsid w:val="00533CE2"/>
    <w:rsid w:val="005344BE"/>
    <w:rsid w:val="00536CBC"/>
    <w:rsid w:val="00543CB8"/>
    <w:rsid w:val="00545C86"/>
    <w:rsid w:val="00551A32"/>
    <w:rsid w:val="00552133"/>
    <w:rsid w:val="0055323B"/>
    <w:rsid w:val="00555C12"/>
    <w:rsid w:val="0055655F"/>
    <w:rsid w:val="0056220B"/>
    <w:rsid w:val="00565370"/>
    <w:rsid w:val="00573D66"/>
    <w:rsid w:val="005764CA"/>
    <w:rsid w:val="00580714"/>
    <w:rsid w:val="005A6CEB"/>
    <w:rsid w:val="005A72AB"/>
    <w:rsid w:val="005B0ACE"/>
    <w:rsid w:val="005C24E6"/>
    <w:rsid w:val="005C31F2"/>
    <w:rsid w:val="005C5650"/>
    <w:rsid w:val="005D020F"/>
    <w:rsid w:val="005E129F"/>
    <w:rsid w:val="005E12FB"/>
    <w:rsid w:val="005E2429"/>
    <w:rsid w:val="005E6189"/>
    <w:rsid w:val="005F1B11"/>
    <w:rsid w:val="005F7D50"/>
    <w:rsid w:val="00612C19"/>
    <w:rsid w:val="00612CD9"/>
    <w:rsid w:val="006171F8"/>
    <w:rsid w:val="00621875"/>
    <w:rsid w:val="00634A70"/>
    <w:rsid w:val="00654F64"/>
    <w:rsid w:val="00664A15"/>
    <w:rsid w:val="0067003B"/>
    <w:rsid w:val="00671C82"/>
    <w:rsid w:val="00672665"/>
    <w:rsid w:val="006818FF"/>
    <w:rsid w:val="00686E1E"/>
    <w:rsid w:val="006B3FC1"/>
    <w:rsid w:val="006B55FA"/>
    <w:rsid w:val="006C1308"/>
    <w:rsid w:val="006E2B6C"/>
    <w:rsid w:val="006E3877"/>
    <w:rsid w:val="006F5744"/>
    <w:rsid w:val="00727120"/>
    <w:rsid w:val="007347F4"/>
    <w:rsid w:val="007427E1"/>
    <w:rsid w:val="00750FFE"/>
    <w:rsid w:val="00763058"/>
    <w:rsid w:val="007759E5"/>
    <w:rsid w:val="007A1F8F"/>
    <w:rsid w:val="007B00B4"/>
    <w:rsid w:val="007F054A"/>
    <w:rsid w:val="00803E93"/>
    <w:rsid w:val="00815B5F"/>
    <w:rsid w:val="00823772"/>
    <w:rsid w:val="0083078A"/>
    <w:rsid w:val="008409A0"/>
    <w:rsid w:val="00850238"/>
    <w:rsid w:val="00862F76"/>
    <w:rsid w:val="0087274C"/>
    <w:rsid w:val="00881379"/>
    <w:rsid w:val="00891DFA"/>
    <w:rsid w:val="008B2AC1"/>
    <w:rsid w:val="008C2BE6"/>
    <w:rsid w:val="008D3F87"/>
    <w:rsid w:val="008D4858"/>
    <w:rsid w:val="008D4DA6"/>
    <w:rsid w:val="008E416C"/>
    <w:rsid w:val="0090214F"/>
    <w:rsid w:val="00905F7B"/>
    <w:rsid w:val="00912921"/>
    <w:rsid w:val="00933AED"/>
    <w:rsid w:val="00934F1F"/>
    <w:rsid w:val="009449D1"/>
    <w:rsid w:val="00963D9A"/>
    <w:rsid w:val="009857B9"/>
    <w:rsid w:val="00995018"/>
    <w:rsid w:val="009A00A5"/>
    <w:rsid w:val="009C61B9"/>
    <w:rsid w:val="009C7AE6"/>
    <w:rsid w:val="009D39E7"/>
    <w:rsid w:val="009D57F4"/>
    <w:rsid w:val="009E5DAC"/>
    <w:rsid w:val="009F7D61"/>
    <w:rsid w:val="00A00707"/>
    <w:rsid w:val="00A01C19"/>
    <w:rsid w:val="00A11D49"/>
    <w:rsid w:val="00A46EEE"/>
    <w:rsid w:val="00A50F9D"/>
    <w:rsid w:val="00A523CE"/>
    <w:rsid w:val="00AA4E63"/>
    <w:rsid w:val="00AB20B2"/>
    <w:rsid w:val="00AB3A8E"/>
    <w:rsid w:val="00AB5F77"/>
    <w:rsid w:val="00AC5F69"/>
    <w:rsid w:val="00AC6D9B"/>
    <w:rsid w:val="00AD770C"/>
    <w:rsid w:val="00AE084C"/>
    <w:rsid w:val="00AE23EF"/>
    <w:rsid w:val="00B0561D"/>
    <w:rsid w:val="00B41A0C"/>
    <w:rsid w:val="00B444EA"/>
    <w:rsid w:val="00B53E4A"/>
    <w:rsid w:val="00B55D47"/>
    <w:rsid w:val="00BF7704"/>
    <w:rsid w:val="00C02889"/>
    <w:rsid w:val="00C02CE3"/>
    <w:rsid w:val="00C035EC"/>
    <w:rsid w:val="00C2217D"/>
    <w:rsid w:val="00C26FCC"/>
    <w:rsid w:val="00C33EFF"/>
    <w:rsid w:val="00C40636"/>
    <w:rsid w:val="00C551CB"/>
    <w:rsid w:val="00C673BF"/>
    <w:rsid w:val="00C7733C"/>
    <w:rsid w:val="00CB7C98"/>
    <w:rsid w:val="00CE00A0"/>
    <w:rsid w:val="00CE0B1F"/>
    <w:rsid w:val="00CF0B2C"/>
    <w:rsid w:val="00D07E16"/>
    <w:rsid w:val="00D12853"/>
    <w:rsid w:val="00D1462B"/>
    <w:rsid w:val="00D15303"/>
    <w:rsid w:val="00D159AE"/>
    <w:rsid w:val="00D26835"/>
    <w:rsid w:val="00D36F29"/>
    <w:rsid w:val="00D6277B"/>
    <w:rsid w:val="00D72B18"/>
    <w:rsid w:val="00D82493"/>
    <w:rsid w:val="00D84EA0"/>
    <w:rsid w:val="00D94D8B"/>
    <w:rsid w:val="00DA0761"/>
    <w:rsid w:val="00DA25DC"/>
    <w:rsid w:val="00DA46DB"/>
    <w:rsid w:val="00DC310E"/>
    <w:rsid w:val="00DD2373"/>
    <w:rsid w:val="00DF29EC"/>
    <w:rsid w:val="00E04810"/>
    <w:rsid w:val="00E05BE1"/>
    <w:rsid w:val="00E21937"/>
    <w:rsid w:val="00E26968"/>
    <w:rsid w:val="00E663B2"/>
    <w:rsid w:val="00E8758C"/>
    <w:rsid w:val="00E97A63"/>
    <w:rsid w:val="00EA33E1"/>
    <w:rsid w:val="00EA77FC"/>
    <w:rsid w:val="00EC54F6"/>
    <w:rsid w:val="00ED0378"/>
    <w:rsid w:val="00F2043B"/>
    <w:rsid w:val="00F33524"/>
    <w:rsid w:val="00F41678"/>
    <w:rsid w:val="00F4297D"/>
    <w:rsid w:val="00F5779D"/>
    <w:rsid w:val="00F57E7C"/>
    <w:rsid w:val="00F9470E"/>
    <w:rsid w:val="00FA3257"/>
    <w:rsid w:val="00FB359E"/>
    <w:rsid w:val="00FC4044"/>
    <w:rsid w:val="00FD5A99"/>
    <w:rsid w:val="00FE0802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lpassplus.org/Launchboard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295D-838D-5A41-9A63-A4D07B42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1520</Words>
  <Characters>8665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Microsoft Office User</cp:lastModifiedBy>
  <cp:revision>4</cp:revision>
  <dcterms:created xsi:type="dcterms:W3CDTF">2017-11-15T15:52:00Z</dcterms:created>
  <dcterms:modified xsi:type="dcterms:W3CDTF">2017-11-16T16:57:00Z</dcterms:modified>
</cp:coreProperties>
</file>